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Cs/>
          <w:sz w:val="44"/>
          <w:szCs w:val="44"/>
          <w:lang w:eastAsia="zh-CN"/>
        </w:rPr>
      </w:pPr>
      <w:r>
        <w:rPr>
          <w:rFonts w:hint="eastAsia" w:ascii="方正小标宋简体" w:hAnsi="方正小标宋简体" w:eastAsia="方正小标宋简体" w:cs="方正小标宋简体"/>
          <w:bCs/>
          <w:sz w:val="44"/>
          <w:szCs w:val="44"/>
          <w:lang w:val="en-US" w:eastAsia="zh-CN"/>
        </w:rPr>
        <w:t xml:space="preserve"> </w:t>
      </w:r>
      <w:r>
        <w:rPr>
          <w:rFonts w:hint="eastAsia" w:ascii="方正小标宋简体" w:hAnsi="方正小标宋简体" w:eastAsia="方正小标宋简体" w:cs="方正小标宋简体"/>
          <w:bCs/>
          <w:sz w:val="44"/>
          <w:szCs w:val="44"/>
        </w:rPr>
        <w:t>中共沅江市委</w:t>
      </w:r>
      <w:r>
        <w:rPr>
          <w:rFonts w:hint="eastAsia" w:ascii="方正小标宋简体" w:hAnsi="方正小标宋简体" w:eastAsia="方正小标宋简体" w:cs="方正小标宋简体"/>
          <w:bCs/>
          <w:sz w:val="44"/>
          <w:szCs w:val="44"/>
          <w:lang w:eastAsia="zh-CN"/>
        </w:rPr>
        <w:t>组织部</w:t>
      </w:r>
    </w:p>
    <w:p>
      <w:pPr>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20</w:t>
      </w:r>
      <w:r>
        <w:rPr>
          <w:rFonts w:hint="eastAsia" w:ascii="方正小标宋简体" w:hAnsi="方正小标宋简体" w:eastAsia="方正小标宋简体" w:cs="方正小标宋简体"/>
          <w:bCs/>
          <w:sz w:val="44"/>
          <w:szCs w:val="44"/>
          <w:lang w:val="en-US" w:eastAsia="zh-CN"/>
        </w:rPr>
        <w:t>21</w:t>
      </w:r>
      <w:r>
        <w:rPr>
          <w:rFonts w:hint="eastAsia" w:ascii="方正小标宋简体" w:hAnsi="方正小标宋简体" w:eastAsia="方正小标宋简体" w:cs="方正小标宋简体"/>
          <w:bCs/>
          <w:sz w:val="44"/>
          <w:szCs w:val="44"/>
        </w:rPr>
        <w:t>年度</w:t>
      </w:r>
      <w:r>
        <w:rPr>
          <w:rFonts w:hint="eastAsia" w:ascii="方正小标宋简体" w:hAnsi="方正小标宋简体" w:eastAsia="方正小标宋简体" w:cs="方正小标宋简体"/>
          <w:bCs/>
          <w:sz w:val="44"/>
          <w:szCs w:val="44"/>
          <w:lang w:eastAsia="zh-CN"/>
        </w:rPr>
        <w:t>专项资金</w:t>
      </w:r>
      <w:r>
        <w:rPr>
          <w:rFonts w:hint="eastAsia" w:ascii="方正小标宋简体" w:hAnsi="方正小标宋简体" w:eastAsia="方正小标宋简体" w:cs="方正小标宋简体"/>
          <w:bCs/>
          <w:sz w:val="44"/>
          <w:szCs w:val="44"/>
        </w:rPr>
        <w:t>绩效评价报告</w:t>
      </w:r>
    </w:p>
    <w:p>
      <w:pPr>
        <w:spacing w:line="560" w:lineRule="exact"/>
        <w:rPr>
          <w:rFonts w:ascii="仿宋" w:hAnsi="仿宋" w:eastAsia="仿宋"/>
          <w:sz w:val="28"/>
          <w:szCs w:val="28"/>
        </w:rPr>
      </w:pPr>
    </w:p>
    <w:p>
      <w:pPr>
        <w:pStyle w:val="8"/>
        <w:spacing w:line="560" w:lineRule="exact"/>
        <w:ind w:firstLine="64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一、部门基本情况</w:t>
      </w:r>
    </w:p>
    <w:p>
      <w:pPr>
        <w:spacing w:line="560" w:lineRule="exact"/>
        <w:ind w:firstLine="64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（一）机构设置情况</w:t>
      </w:r>
    </w:p>
    <w:p>
      <w:pPr>
        <w:spacing w:line="520" w:lineRule="exact"/>
        <w:ind w:firstLine="640"/>
        <w:rPr>
          <w:rFonts w:ascii="楷体" w:hAnsi="楷体" w:eastAsia="楷体" w:cs="楷体"/>
          <w:sz w:val="32"/>
        </w:rPr>
      </w:pPr>
      <w:r>
        <w:rPr>
          <w:rFonts w:hint="eastAsia" w:ascii="仿宋" w:hAnsi="仿宋" w:eastAsia="仿宋"/>
          <w:sz w:val="32"/>
          <w:lang w:val="en-US"/>
        </w:rPr>
        <w:t>20</w:t>
      </w:r>
      <w:r>
        <w:rPr>
          <w:rFonts w:hint="eastAsia" w:ascii="仿宋" w:hAnsi="仿宋" w:eastAsia="仿宋"/>
          <w:sz w:val="32"/>
          <w:lang w:val="en-US" w:eastAsia="zh-CN"/>
        </w:rPr>
        <w:t>21</w:t>
      </w:r>
      <w:r>
        <w:rPr>
          <w:rFonts w:hint="eastAsia" w:ascii="仿宋" w:hAnsi="仿宋" w:eastAsia="仿宋"/>
          <w:sz w:val="32"/>
          <w:lang w:val="en-US"/>
        </w:rPr>
        <w:t>年本单位由</w:t>
      </w:r>
      <w:r>
        <w:rPr>
          <w:rFonts w:hint="eastAsia" w:ascii="仿宋" w:hAnsi="仿宋" w:eastAsia="仿宋"/>
          <w:sz w:val="32"/>
          <w:lang w:val="en-US" w:eastAsia="zh-CN"/>
        </w:rPr>
        <w:t>市委组织部机关、党员教育中心</w:t>
      </w:r>
      <w:r>
        <w:rPr>
          <w:rFonts w:hint="eastAsia" w:ascii="仿宋" w:hAnsi="仿宋" w:eastAsia="仿宋"/>
          <w:sz w:val="32"/>
          <w:lang w:val="en-US"/>
        </w:rPr>
        <w:t>组成。</w:t>
      </w:r>
    </w:p>
    <w:p>
      <w:pPr>
        <w:spacing w:line="560" w:lineRule="exact"/>
        <w:ind w:firstLine="64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（二）人员情况</w:t>
      </w:r>
    </w:p>
    <w:p>
      <w:pPr>
        <w:spacing w:line="520" w:lineRule="exact"/>
        <w:ind w:firstLine="640"/>
        <w:rPr>
          <w:rFonts w:hint="eastAsia" w:ascii="仿宋" w:hAnsi="仿宋" w:eastAsia="仿宋"/>
          <w:sz w:val="32"/>
          <w:lang w:val="en-US"/>
        </w:rPr>
      </w:pPr>
      <w:r>
        <w:rPr>
          <w:rFonts w:hint="eastAsia" w:ascii="仿宋" w:hAnsi="仿宋" w:eastAsia="仿宋"/>
          <w:sz w:val="32"/>
          <w:lang w:val="en-US"/>
        </w:rPr>
        <w:t>人员情况。20</w:t>
      </w:r>
      <w:r>
        <w:rPr>
          <w:rFonts w:hint="eastAsia" w:ascii="仿宋" w:hAnsi="仿宋" w:eastAsia="仿宋"/>
          <w:sz w:val="32"/>
          <w:lang w:val="en-US" w:eastAsia="zh-CN"/>
        </w:rPr>
        <w:t>21</w:t>
      </w:r>
      <w:r>
        <w:rPr>
          <w:rFonts w:hint="eastAsia" w:ascii="仿宋" w:hAnsi="仿宋" w:eastAsia="仿宋"/>
          <w:sz w:val="32"/>
          <w:lang w:val="en-US"/>
        </w:rPr>
        <w:t>年本单位年未实有人数</w:t>
      </w:r>
      <w:r>
        <w:rPr>
          <w:rFonts w:hint="eastAsia" w:ascii="仿宋" w:hAnsi="仿宋" w:eastAsia="仿宋"/>
          <w:sz w:val="28"/>
          <w:lang w:val="en-US" w:eastAsia="zh-CN"/>
        </w:rPr>
        <w:t>28</w:t>
      </w:r>
      <w:r>
        <w:rPr>
          <w:rFonts w:hint="eastAsia" w:ascii="仿宋" w:hAnsi="仿宋" w:eastAsia="仿宋"/>
          <w:sz w:val="32"/>
          <w:lang w:val="en-US"/>
        </w:rPr>
        <w:t>人，比上年</w:t>
      </w:r>
      <w:r>
        <w:rPr>
          <w:rFonts w:hint="eastAsia" w:ascii="仿宋" w:hAnsi="仿宋" w:eastAsia="仿宋"/>
          <w:sz w:val="32"/>
          <w:lang w:val="zh-CN"/>
        </w:rPr>
        <w:t>变动减少</w:t>
      </w:r>
      <w:r>
        <w:rPr>
          <w:rFonts w:hint="eastAsia" w:ascii="仿宋" w:hAnsi="仿宋" w:eastAsia="仿宋"/>
          <w:sz w:val="32"/>
          <w:lang w:val="en-US" w:eastAsia="zh-CN"/>
        </w:rPr>
        <w:t>8</w:t>
      </w:r>
      <w:r>
        <w:rPr>
          <w:rFonts w:hint="eastAsia" w:ascii="仿宋" w:hAnsi="仿宋" w:eastAsia="仿宋"/>
          <w:sz w:val="32"/>
          <w:lang w:val="en-US"/>
        </w:rPr>
        <w:t>人。</w:t>
      </w:r>
    </w:p>
    <w:p>
      <w:pPr>
        <w:spacing w:line="560" w:lineRule="exact"/>
        <w:ind w:firstLine="64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（三）主要工作职责</w:t>
      </w:r>
    </w:p>
    <w:p>
      <w:pPr>
        <w:widowControl/>
        <w:shd w:val="clear" w:color="auto" w:fill="FFFFFF"/>
        <w:spacing w:line="560" w:lineRule="atLeast"/>
        <w:ind w:firstLine="643"/>
        <w:jc w:val="left"/>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一）严格执行党的干部路线、方针、政策，负责全市干部队伍建设的宏观管理，制订或参与制订组织、干部、人事工作的重要政策、规定、制度；负责全市党的建设制度改革工作的规划研究、部署和组织实施；会同有关部门研究制订适应现代企业制度要求的国有企业领导班子和企业经营管理者队伍建设的政策和法规，提出加强宏观指导的意见和建议。</w:t>
      </w:r>
    </w:p>
    <w:p>
      <w:pPr>
        <w:widowControl/>
        <w:shd w:val="clear" w:color="auto" w:fill="FFFFFF"/>
        <w:spacing w:line="560" w:lineRule="atLeast"/>
        <w:ind w:firstLine="643"/>
        <w:jc w:val="left"/>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二）负责干部队伍建设的规划和指导工作。研究拟订加强全市干部队伍建设整体规划和工作措施；负责对市委管理的领导班子进行考察了解，向市委提出调整配备的意见和建议；负责办理市委管理干部的考察、任免、工资、待遇、出国（境）、退（离）休审批手续的办理和日常管理工作；协同机构编制部门拟定副科级以上单位领导职数设置方案；承办市委委托管理干部的调配、交流及安置；负责援疆（藏）干部工作；负责规划、部署、组织实施年轻干部、妇女干部、少数民族干部、党外干部的培养、选拔、任用工作；负责科级领导班子和领导干部年度考核工作；指导镇场街道和市直科局级单位领导班子政治建设；协助管理中央、省属驻沅单位领导班子和领导干部，对领导班子建设和领导干部选拔任用提出意见和建议；负责省、益阳市和沅江市人大代表和政协委员推荐提名工作；负责全市法官和检察官单独职务序列等级晋升有关工作。</w:t>
      </w:r>
    </w:p>
    <w:p>
      <w:pPr>
        <w:widowControl/>
        <w:shd w:val="clear" w:color="auto" w:fill="FFFFFF"/>
        <w:spacing w:line="560" w:lineRule="atLeast"/>
        <w:ind w:firstLine="643"/>
        <w:jc w:val="left"/>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三）执行公务员管理政策和法律法规。负责公务员职务与职级并行制度的组织实施；负责公务员和参照公务员法管理单位参公人员的考试录用、考核、奖惩、工资管理、能力建设等工作；指导实施公务员调任、转任、挂职政策；执行公务员职位分类标准和管理办法；执行有关人员调配政策和特殊人员安置政策；组织实施政府奖励，综合管理全市行政奖励表彰工作；承办以市人民政府名义任免工作人员的有关工作；负责公务员信息统计管理工作。</w:t>
      </w:r>
    </w:p>
    <w:p>
      <w:pPr>
        <w:widowControl/>
        <w:shd w:val="clear" w:color="auto" w:fill="FFFFFF"/>
        <w:spacing w:line="560" w:lineRule="atLeast"/>
        <w:ind w:firstLine="643"/>
        <w:jc w:val="left"/>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四）负责干部监督工作的宏观指导，负责对党政领导干部选拔任用工作进行监督检查；对反映领导班子和领导干部的重要问题进行调查了解和督办；负责其他历史遗留问题的审理工作；协助做好市委巡察工作；按照上级组织部门要求落实领导干部个人有关事项报告、领导干部任期经济责任审计等工作；负责指导镇场街道和市直各单位组织人事部门开展提醒、函询和诫勉谈话工作。</w:t>
      </w:r>
    </w:p>
    <w:p>
      <w:pPr>
        <w:widowControl/>
        <w:shd w:val="clear" w:color="auto" w:fill="FFFFFF"/>
        <w:spacing w:line="560" w:lineRule="atLeast"/>
        <w:ind w:firstLine="643"/>
        <w:jc w:val="left"/>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（五）负责全市干部教育培训的宏观管理，制订干部教育工作规划，组织、协调全市副科级以上干部和部分中青年干部的培训。</w:t>
      </w:r>
    </w:p>
    <w:p>
      <w:pPr>
        <w:widowControl/>
        <w:shd w:val="clear" w:color="auto" w:fill="FFFFFF"/>
        <w:spacing w:line="560" w:lineRule="atLeast"/>
        <w:ind w:firstLine="643"/>
        <w:jc w:val="left"/>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（六）负责全市干部信息、人事档案、党内统计、干部统计工作的宏观指导；负责全市组织系统信息网络建设。</w:t>
      </w:r>
    </w:p>
    <w:p>
      <w:pPr>
        <w:widowControl/>
        <w:shd w:val="clear" w:color="auto" w:fill="FFFFFF"/>
        <w:spacing w:line="560" w:lineRule="atLeast"/>
        <w:ind w:firstLine="643"/>
        <w:jc w:val="left"/>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（七）负责全市人才工作和人才队伍建设的宏观管理和指导；研究拟订人才工作有关政策并组织实施；协调落实专项重点人才工作；协调实施高层次人才培养工程；按政策落实重点人才的相关待遇。</w:t>
      </w:r>
    </w:p>
    <w:p>
      <w:pPr>
        <w:widowControl/>
        <w:shd w:val="clear" w:color="auto" w:fill="FFFFFF"/>
        <w:spacing w:line="560" w:lineRule="atLeast"/>
        <w:ind w:firstLine="643"/>
        <w:jc w:val="left"/>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八）负责研究和指导党组织建设工作。制定加强党的工作制度、党内生活制度的规定和意见；对各领域党的基层组织建设进行分类指导，对各级基层党组织设立进行指导审核，指导各级党委健全党代表大会制度，负责党代表大会代表选举、管理和联络服务。</w:t>
      </w:r>
    </w:p>
    <w:p>
      <w:pPr>
        <w:widowControl/>
        <w:shd w:val="clear" w:color="auto" w:fill="FFFFFF"/>
        <w:spacing w:line="560" w:lineRule="atLeast"/>
        <w:ind w:firstLine="643"/>
        <w:jc w:val="left"/>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九）研究指导党员队伍建设工作。主管党员发展和管理工作，指导、协调党员教育培训；指导镇场街道党委和市直机关事业单位党员领导干部民主生活会；负责全市党费收缴、管理和使用工作；指导开展党内表彰奖励、关怀帮扶等工作；负责全市党组织和党员队伍信息化建设及党内统计工作。</w:t>
      </w:r>
    </w:p>
    <w:p>
      <w:pPr>
        <w:widowControl/>
        <w:shd w:val="clear" w:color="auto" w:fill="FFFFFF"/>
        <w:spacing w:line="560" w:lineRule="atLeast"/>
        <w:ind w:firstLine="643"/>
        <w:jc w:val="left"/>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（十）负责全市非公经济组织和社会组织党的建设工作。指导建立工会、共青团、妇联等群众组织，并支持按照各自章程开展活动。</w:t>
      </w:r>
    </w:p>
    <w:p>
      <w:pPr>
        <w:widowControl/>
        <w:shd w:val="clear" w:color="auto" w:fill="FFFFFF"/>
        <w:spacing w:line="560" w:lineRule="atLeast"/>
        <w:ind w:firstLine="643"/>
        <w:jc w:val="left"/>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（十一）承担市委党建工作领导小组日常工作，综合协调有关部门统筹推进基层党建工作，健全和落实基层党建工作责任制，负责基层党建述职评议；协调有关部门指导发展壮大村级（社区）集体经济。</w:t>
      </w:r>
    </w:p>
    <w:p>
      <w:pPr>
        <w:widowControl/>
        <w:shd w:val="clear" w:color="auto" w:fill="FFFFFF"/>
        <w:spacing w:line="560" w:lineRule="atLeast"/>
        <w:ind w:firstLine="643"/>
        <w:jc w:val="left"/>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十二）负责市直机关党的建设工作。提出加强和改进党的建设的意见和建议，研究制定工作规划，并抓好组织实施；指导并负责检查考核市直机关各分工委党的政治建设、思想建设、组织建设、作风建设和纪律建设等工作。</w:t>
      </w:r>
    </w:p>
    <w:p>
      <w:pPr>
        <w:widowControl/>
        <w:shd w:val="clear" w:color="auto" w:fill="FFFFFF"/>
        <w:spacing w:line="560" w:lineRule="atLeast"/>
        <w:ind w:firstLine="643"/>
        <w:jc w:val="left"/>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（十三）统筹协调全市绩效评估管理工作。拟订绩效评估方案并组织实施，综合掌握工作动态。</w:t>
      </w:r>
    </w:p>
    <w:p>
      <w:pPr>
        <w:widowControl/>
        <w:shd w:val="clear" w:color="auto" w:fill="FFFFFF"/>
        <w:spacing w:line="560" w:lineRule="atLeast"/>
        <w:ind w:firstLine="643"/>
        <w:jc w:val="left"/>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（十四）负责组织工作的综合协调、督促检查和调查研究。指导镇场街道和市直各单位组织人事部门开展工作，及时向上级组织部门报告工作；负责全市党员、干部的来信来访工作。</w:t>
      </w:r>
    </w:p>
    <w:p>
      <w:pPr>
        <w:widowControl/>
        <w:shd w:val="clear" w:color="auto" w:fill="FFFFFF"/>
        <w:spacing w:line="560" w:lineRule="atLeast"/>
        <w:ind w:firstLine="643"/>
        <w:jc w:val="left"/>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（十五）负责管理全市机构编制。</w:t>
      </w:r>
    </w:p>
    <w:p>
      <w:pPr>
        <w:widowControl/>
        <w:shd w:val="clear" w:color="auto" w:fill="FFFFFF"/>
        <w:spacing w:line="560" w:lineRule="atLeast"/>
        <w:ind w:firstLine="643"/>
        <w:jc w:val="left"/>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十六）贯彻执行上级组织关于离退休干部工作的方针、政策、法规和决策部署；负责全市离退休干部工作的宏观管理和指导，开展调查研究，针对离退休干部工作中的新情况、新问题，及时提出建设性意见，为市委、市政府制定有关离退休干部工作的政策、规定提供情况和依据，并组织督促检查；指导全市离退休干部政治建设、思想建设、组织建设和离退休干部工委体系建设，组织指导离退休干部开展学习教育活动，发挥作用；指导全市离退休干部服务管理工作，督促落实离休干部政治、生活待遇；负责离退休干部工作的宣传，开展尊老、敬老、爱老活动，依法维护离退休干部的合法权益；指导全市离退休干部工作部门自身建设，按规定开展离退休干部工作先进集体和先进个人评选表彰活动；按照有关规定，做好来沅离退休干部的接待服务工作；承担市委老干部工作领导小组办公室的日常工作；承担市委离退休干部工作委员会的日常管理工作；承担市关心下一代工作委员会的日常工作；负责对所属单位的国有资产和财务管理进行指导和监督，充分发挥各种场地和设施的作用，发展离退休干部事业。</w:t>
      </w:r>
    </w:p>
    <w:p>
      <w:pPr>
        <w:widowControl/>
        <w:shd w:val="clear" w:color="auto" w:fill="FFFFFF"/>
        <w:spacing w:line="560" w:lineRule="atLeast"/>
        <w:ind w:firstLine="643"/>
        <w:jc w:val="left"/>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（十七）完成市委和益阳市委组织部交办的其他工作。</w:t>
      </w:r>
    </w:p>
    <w:p>
      <w:pPr>
        <w:spacing w:line="560" w:lineRule="exact"/>
        <w:ind w:firstLine="640" w:firstLineChars="200"/>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（四）项目绩效目标</w:t>
      </w:r>
    </w:p>
    <w:p>
      <w:pPr>
        <w:widowControl/>
        <w:shd w:val="clear" w:color="auto" w:fill="FFFFFF"/>
        <w:spacing w:line="560" w:lineRule="atLeast"/>
        <w:ind w:firstLine="643"/>
        <w:jc w:val="left"/>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1.进一步加强基层党建，班子建设，人才队伍建设，优化基层党组织建设，增强党组织战斗力。</w:t>
      </w:r>
    </w:p>
    <w:p>
      <w:pPr>
        <w:widowControl/>
        <w:shd w:val="clear" w:color="auto" w:fill="FFFFFF"/>
        <w:spacing w:line="560" w:lineRule="atLeast"/>
        <w:ind w:firstLine="643"/>
        <w:jc w:val="left"/>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2.激励干部新时代新担当新作为，在全市营造干事创业的浓厚氛围，为全市经济社会又好又快发展提供组织保障。</w:t>
      </w:r>
    </w:p>
    <w:p>
      <w:pPr>
        <w:widowControl/>
        <w:shd w:val="clear" w:color="auto" w:fill="FFFFFF"/>
        <w:spacing w:line="560" w:lineRule="atLeast"/>
        <w:ind w:firstLine="643"/>
        <w:jc w:val="left"/>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3.实现干部档案工作的规范化，便于档案的保管和利用。</w:t>
      </w:r>
    </w:p>
    <w:p>
      <w:pPr>
        <w:widowControl/>
        <w:shd w:val="clear" w:color="auto" w:fill="FFFFFF"/>
        <w:spacing w:line="560" w:lineRule="atLeast"/>
        <w:ind w:firstLine="643"/>
        <w:jc w:val="left"/>
        <w:rPr>
          <w:rFonts w:hint="eastAsia" w:ascii="仿宋_GB2312" w:hAnsi="仿宋_GB2312" w:eastAsia="仿宋_GB2312" w:cs="仿宋_GB2312"/>
          <w:color w:val="333333"/>
          <w:kern w:val="0"/>
          <w:sz w:val="32"/>
          <w:szCs w:val="32"/>
          <w:lang w:val="en-US" w:eastAsia="zh-CN"/>
        </w:rPr>
      </w:pPr>
      <w:r>
        <w:rPr>
          <w:rFonts w:hint="eastAsia" w:ascii="仿宋_GB2312" w:hAnsi="仿宋_GB2312" w:eastAsia="仿宋_GB2312" w:cs="仿宋_GB2312"/>
          <w:color w:val="333333"/>
          <w:kern w:val="0"/>
          <w:sz w:val="32"/>
          <w:szCs w:val="32"/>
          <w:lang w:val="en-US" w:eastAsia="zh-CN"/>
        </w:rPr>
        <w:t>4.七一期间，表彰一批优秀共产党员和优秀党务工作者。</w:t>
      </w:r>
    </w:p>
    <w:p>
      <w:pPr>
        <w:pStyle w:val="8"/>
        <w:spacing w:line="560" w:lineRule="exact"/>
        <w:ind w:firstLine="640"/>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rPr>
        <w:t>二、</w:t>
      </w:r>
      <w:r>
        <w:rPr>
          <w:rFonts w:hint="eastAsia" w:ascii="方正黑体_GBK" w:hAnsi="方正黑体_GBK" w:eastAsia="方正黑体_GBK" w:cs="方正黑体_GBK"/>
          <w:sz w:val="32"/>
          <w:szCs w:val="32"/>
          <w:lang w:eastAsia="zh-CN"/>
        </w:rPr>
        <w:t>绩效评价指标分析情况</w:t>
      </w:r>
    </w:p>
    <w:p>
      <w:pPr>
        <w:pStyle w:val="8"/>
        <w:spacing w:line="560" w:lineRule="exact"/>
        <w:ind w:left="321" w:firstLine="320" w:firstLineChars="100"/>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rPr>
        <w:t>（一）</w:t>
      </w:r>
      <w:r>
        <w:rPr>
          <w:rFonts w:hint="eastAsia" w:ascii="方正楷体_GBK" w:hAnsi="方正楷体_GBK" w:eastAsia="方正楷体_GBK" w:cs="方正楷体_GBK"/>
          <w:sz w:val="32"/>
          <w:szCs w:val="32"/>
          <w:lang w:eastAsia="zh-CN"/>
        </w:rPr>
        <w:t>项目资金情况分析</w:t>
      </w:r>
    </w:p>
    <w:p>
      <w:pPr>
        <w:numPr>
          <w:ilvl w:val="0"/>
          <w:numId w:val="0"/>
        </w:numPr>
        <w:snapToGrid w:val="0"/>
        <w:spacing w:beforeLines="0" w:afterLines="0" w:line="520" w:lineRule="exact"/>
        <w:ind w:firstLine="640"/>
        <w:rPr>
          <w:rFonts w:hint="eastAsia" w:ascii="仿宋" w:hAnsi="仿宋" w:eastAsia="仿宋"/>
          <w:sz w:val="32"/>
          <w:lang w:val="en-US" w:eastAsia="zh-CN"/>
        </w:rPr>
      </w:pPr>
      <w:r>
        <w:rPr>
          <w:rFonts w:hint="eastAsia" w:ascii="仿宋" w:hAnsi="仿宋" w:eastAsia="仿宋"/>
          <w:sz w:val="32"/>
          <w:lang w:val="en-US" w:eastAsia="zh-CN"/>
        </w:rPr>
        <w:t>1、项目资金到位情况分析</w:t>
      </w:r>
    </w:p>
    <w:p>
      <w:pPr>
        <w:spacing w:line="560" w:lineRule="exact"/>
        <w:ind w:firstLine="640" w:firstLineChars="200"/>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2021年我部年初预算项目资金470万元，主要用于党建工作、公务员工作专项经费、组工干部培训工作经费、老干活动经费等。年初预算安排仅限于沅江市级预算资金。</w:t>
      </w:r>
    </w:p>
    <w:p>
      <w:pPr>
        <w:spacing w:line="560" w:lineRule="exact"/>
        <w:ind w:firstLine="640" w:firstLineChars="200"/>
        <w:rPr>
          <w:rFonts w:hint="eastAsia" w:ascii="方正仿宋简体" w:hAnsi="方正仿宋简体" w:eastAsia="方正仿宋简体" w:cs="方正仿宋简体"/>
          <w:sz w:val="32"/>
          <w:szCs w:val="32"/>
          <w:lang w:val="en-US" w:eastAsia="zh-CN"/>
        </w:rPr>
      </w:pPr>
    </w:p>
    <w:tbl>
      <w:tblPr>
        <w:tblStyle w:val="5"/>
        <w:tblW w:w="8109" w:type="dxa"/>
        <w:tblInd w:w="0" w:type="dxa"/>
        <w:shd w:val="clear" w:color="auto" w:fill="auto"/>
        <w:tblLayout w:type="autofit"/>
        <w:tblCellMar>
          <w:top w:w="0" w:type="dxa"/>
          <w:left w:w="0" w:type="dxa"/>
          <w:bottom w:w="0" w:type="dxa"/>
          <w:right w:w="0" w:type="dxa"/>
        </w:tblCellMar>
      </w:tblPr>
      <w:tblGrid>
        <w:gridCol w:w="5544"/>
        <w:gridCol w:w="2565"/>
      </w:tblGrid>
      <w:tr>
        <w:tblPrEx>
          <w:shd w:val="clear" w:color="auto" w:fill="auto"/>
          <w:tblCellMar>
            <w:top w:w="0" w:type="dxa"/>
            <w:left w:w="0" w:type="dxa"/>
            <w:bottom w:w="0" w:type="dxa"/>
            <w:right w:w="0" w:type="dxa"/>
          </w:tblCellMar>
        </w:tblPrEx>
        <w:trPr>
          <w:trHeight w:val="405" w:hRule="atLeast"/>
        </w:trPr>
        <w:tc>
          <w:tcPr>
            <w:tcW w:w="554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项目名称</w:t>
            </w:r>
          </w:p>
        </w:tc>
        <w:tc>
          <w:tcPr>
            <w:tcW w:w="2565"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2021预算（万元）</w:t>
            </w:r>
          </w:p>
        </w:tc>
      </w:tr>
      <w:tr>
        <w:tblPrEx>
          <w:shd w:val="clear" w:color="auto" w:fill="auto"/>
          <w:tblCellMar>
            <w:top w:w="0" w:type="dxa"/>
            <w:left w:w="0" w:type="dxa"/>
            <w:bottom w:w="0" w:type="dxa"/>
            <w:right w:w="0" w:type="dxa"/>
          </w:tblCellMar>
        </w:tblPrEx>
        <w:trPr>
          <w:trHeight w:val="420" w:hRule="atLeast"/>
        </w:trPr>
        <w:tc>
          <w:tcPr>
            <w:tcW w:w="5544"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领导班子考核专项(政治建设考察工作经费)</w:t>
            </w:r>
          </w:p>
        </w:tc>
        <w:tc>
          <w:tcPr>
            <w:tcW w:w="2565" w:type="dxa"/>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vertAlign w:val="baseline"/>
                <w:lang w:val="en-US" w:eastAsia="zh-CN"/>
              </w:rPr>
              <w:t>9</w:t>
            </w:r>
          </w:p>
        </w:tc>
      </w:tr>
      <w:tr>
        <w:tblPrEx>
          <w:shd w:val="clear" w:color="auto" w:fill="auto"/>
          <w:tblCellMar>
            <w:top w:w="0" w:type="dxa"/>
            <w:left w:w="0" w:type="dxa"/>
            <w:bottom w:w="0" w:type="dxa"/>
            <w:right w:w="0" w:type="dxa"/>
          </w:tblCellMar>
        </w:tblPrEx>
        <w:trPr>
          <w:trHeight w:val="420" w:hRule="atLeast"/>
        </w:trPr>
        <w:tc>
          <w:tcPr>
            <w:tcW w:w="5544"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选调生和大学生村官专项</w:t>
            </w:r>
          </w:p>
        </w:tc>
        <w:tc>
          <w:tcPr>
            <w:tcW w:w="2565" w:type="dxa"/>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vertAlign w:val="baseline"/>
                <w:lang w:val="en-US" w:eastAsia="zh-CN"/>
              </w:rPr>
              <w:t>10</w:t>
            </w:r>
          </w:p>
        </w:tc>
      </w:tr>
      <w:tr>
        <w:tblPrEx>
          <w:shd w:val="clear" w:color="auto" w:fill="auto"/>
          <w:tblCellMar>
            <w:top w:w="0" w:type="dxa"/>
            <w:left w:w="0" w:type="dxa"/>
            <w:bottom w:w="0" w:type="dxa"/>
            <w:right w:w="0" w:type="dxa"/>
          </w:tblCellMar>
        </w:tblPrEx>
        <w:trPr>
          <w:trHeight w:val="420" w:hRule="atLeast"/>
        </w:trPr>
        <w:tc>
          <w:tcPr>
            <w:tcW w:w="5544"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信息调研工作经费</w:t>
            </w:r>
          </w:p>
        </w:tc>
        <w:tc>
          <w:tcPr>
            <w:tcW w:w="2565" w:type="dxa"/>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vertAlign w:val="baseline"/>
                <w:lang w:val="en-US" w:eastAsia="zh-CN"/>
              </w:rPr>
              <w:t>5</w:t>
            </w:r>
          </w:p>
        </w:tc>
      </w:tr>
      <w:tr>
        <w:tblPrEx>
          <w:shd w:val="clear" w:color="auto" w:fill="auto"/>
          <w:tblCellMar>
            <w:top w:w="0" w:type="dxa"/>
            <w:left w:w="0" w:type="dxa"/>
            <w:bottom w:w="0" w:type="dxa"/>
            <w:right w:w="0" w:type="dxa"/>
          </w:tblCellMar>
        </w:tblPrEx>
        <w:trPr>
          <w:trHeight w:val="420" w:hRule="atLeast"/>
        </w:trPr>
        <w:tc>
          <w:tcPr>
            <w:tcW w:w="5544"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党建专项经费</w:t>
            </w:r>
          </w:p>
        </w:tc>
        <w:tc>
          <w:tcPr>
            <w:tcW w:w="2565" w:type="dxa"/>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vertAlign w:val="baseline"/>
                <w:lang w:val="en-US" w:eastAsia="zh-CN"/>
              </w:rPr>
              <w:t>66.25</w:t>
            </w:r>
          </w:p>
        </w:tc>
      </w:tr>
      <w:tr>
        <w:tblPrEx>
          <w:shd w:val="clear" w:color="auto" w:fill="auto"/>
          <w:tblCellMar>
            <w:top w:w="0" w:type="dxa"/>
            <w:left w:w="0" w:type="dxa"/>
            <w:bottom w:w="0" w:type="dxa"/>
            <w:right w:w="0" w:type="dxa"/>
          </w:tblCellMar>
        </w:tblPrEx>
        <w:trPr>
          <w:trHeight w:val="420" w:hRule="atLeast"/>
        </w:trPr>
        <w:tc>
          <w:tcPr>
            <w:tcW w:w="5544"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大组工网建设</w:t>
            </w:r>
          </w:p>
        </w:tc>
        <w:tc>
          <w:tcPr>
            <w:tcW w:w="2565" w:type="dxa"/>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vertAlign w:val="baseline"/>
                <w:lang w:val="en-US" w:eastAsia="zh-CN"/>
              </w:rPr>
              <w:t>3.55</w:t>
            </w:r>
          </w:p>
        </w:tc>
      </w:tr>
      <w:tr>
        <w:tblPrEx>
          <w:shd w:val="clear" w:color="auto" w:fill="auto"/>
          <w:tblCellMar>
            <w:top w:w="0" w:type="dxa"/>
            <w:left w:w="0" w:type="dxa"/>
            <w:bottom w:w="0" w:type="dxa"/>
            <w:right w:w="0" w:type="dxa"/>
          </w:tblCellMar>
        </w:tblPrEx>
        <w:trPr>
          <w:trHeight w:val="420" w:hRule="atLeast"/>
        </w:trPr>
        <w:tc>
          <w:tcPr>
            <w:tcW w:w="5544"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组工干部外出培训</w:t>
            </w:r>
          </w:p>
        </w:tc>
        <w:tc>
          <w:tcPr>
            <w:tcW w:w="2565" w:type="dxa"/>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22.2</w:t>
            </w:r>
          </w:p>
        </w:tc>
      </w:tr>
      <w:tr>
        <w:tblPrEx>
          <w:shd w:val="clear" w:color="auto" w:fill="auto"/>
          <w:tblCellMar>
            <w:top w:w="0" w:type="dxa"/>
            <w:left w:w="0" w:type="dxa"/>
            <w:bottom w:w="0" w:type="dxa"/>
            <w:right w:w="0" w:type="dxa"/>
          </w:tblCellMar>
        </w:tblPrEx>
        <w:trPr>
          <w:trHeight w:val="420" w:hRule="atLeast"/>
        </w:trPr>
        <w:tc>
          <w:tcPr>
            <w:tcW w:w="5544"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干部档案管理与信息化建设</w:t>
            </w:r>
          </w:p>
        </w:tc>
        <w:tc>
          <w:tcPr>
            <w:tcW w:w="2565" w:type="dxa"/>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vertAlign w:val="baseline"/>
                <w:lang w:val="en-US" w:eastAsia="zh-CN"/>
              </w:rPr>
              <w:t>5</w:t>
            </w:r>
          </w:p>
        </w:tc>
      </w:tr>
      <w:tr>
        <w:tblPrEx>
          <w:shd w:val="clear" w:color="auto" w:fill="auto"/>
          <w:tblCellMar>
            <w:top w:w="0" w:type="dxa"/>
            <w:left w:w="0" w:type="dxa"/>
            <w:bottom w:w="0" w:type="dxa"/>
            <w:right w:w="0" w:type="dxa"/>
          </w:tblCellMar>
        </w:tblPrEx>
        <w:trPr>
          <w:trHeight w:val="420" w:hRule="atLeast"/>
        </w:trPr>
        <w:tc>
          <w:tcPr>
            <w:tcW w:w="5544"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两新工委及指导员津贴</w:t>
            </w:r>
          </w:p>
        </w:tc>
        <w:tc>
          <w:tcPr>
            <w:tcW w:w="2565" w:type="dxa"/>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vertAlign w:val="baseline"/>
                <w:lang w:val="en-US" w:eastAsia="zh-CN"/>
              </w:rPr>
              <w:t>40</w:t>
            </w:r>
          </w:p>
        </w:tc>
      </w:tr>
      <w:tr>
        <w:tblPrEx>
          <w:shd w:val="clear" w:color="auto" w:fill="auto"/>
          <w:tblCellMar>
            <w:top w:w="0" w:type="dxa"/>
            <w:left w:w="0" w:type="dxa"/>
            <w:bottom w:w="0" w:type="dxa"/>
            <w:right w:w="0" w:type="dxa"/>
          </w:tblCellMar>
        </w:tblPrEx>
        <w:trPr>
          <w:trHeight w:val="420" w:hRule="atLeast"/>
        </w:trPr>
        <w:tc>
          <w:tcPr>
            <w:tcW w:w="5544"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bookmarkStart w:id="0" w:name="_GoBack"/>
            <w:bookmarkEnd w:id="0"/>
            <w:r>
              <w:rPr>
                <w:rFonts w:hint="eastAsia" w:ascii="仿宋_GB2312" w:hAnsi="仿宋_GB2312" w:eastAsia="仿宋_GB2312" w:cs="仿宋_GB2312"/>
                <w:sz w:val="28"/>
                <w:szCs w:val="28"/>
                <w:lang w:val="en-US" w:eastAsia="zh-CN"/>
              </w:rPr>
              <w:t>绩效考核经费</w:t>
            </w:r>
          </w:p>
        </w:tc>
        <w:tc>
          <w:tcPr>
            <w:tcW w:w="2565" w:type="dxa"/>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jc w:val="center"/>
              <w:rPr>
                <w:rFonts w:hint="eastAsia" w:ascii="仿宋_GB2312" w:hAnsi="仿宋_GB2312" w:eastAsia="仿宋_GB2312" w:cs="仿宋_GB2312"/>
                <w:sz w:val="28"/>
                <w:szCs w:val="28"/>
                <w:lang w:val="en-US" w:eastAsia="zh-CN"/>
              </w:rPr>
            </w:pPr>
            <w:r>
              <w:rPr>
                <w:rFonts w:hint="eastAsia" w:ascii="方正仿宋简体" w:hAnsi="方正仿宋简体" w:eastAsia="方正仿宋简体" w:cs="方正仿宋简体"/>
                <w:sz w:val="28"/>
                <w:szCs w:val="28"/>
                <w:vertAlign w:val="baseline"/>
                <w:lang w:val="en-US" w:eastAsia="zh-CN"/>
              </w:rPr>
              <w:t>26</w:t>
            </w:r>
          </w:p>
        </w:tc>
      </w:tr>
      <w:tr>
        <w:tblPrEx>
          <w:shd w:val="clear" w:color="auto" w:fill="auto"/>
          <w:tblCellMar>
            <w:top w:w="0" w:type="dxa"/>
            <w:left w:w="0" w:type="dxa"/>
            <w:bottom w:w="0" w:type="dxa"/>
            <w:right w:w="0" w:type="dxa"/>
          </w:tblCellMar>
        </w:tblPrEx>
        <w:trPr>
          <w:trHeight w:val="420" w:hRule="atLeast"/>
        </w:trPr>
        <w:tc>
          <w:tcPr>
            <w:tcW w:w="5544"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党代表调研工作经费</w:t>
            </w:r>
          </w:p>
        </w:tc>
        <w:tc>
          <w:tcPr>
            <w:tcW w:w="2565" w:type="dxa"/>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jc w:val="center"/>
              <w:rPr>
                <w:rFonts w:hint="eastAsia" w:ascii="仿宋_GB2312" w:hAnsi="仿宋_GB2312" w:eastAsia="仿宋_GB2312" w:cs="仿宋_GB2312"/>
                <w:sz w:val="28"/>
                <w:szCs w:val="28"/>
                <w:lang w:val="en-US" w:eastAsia="zh-CN"/>
              </w:rPr>
            </w:pPr>
            <w:r>
              <w:rPr>
                <w:rFonts w:hint="eastAsia" w:ascii="方正仿宋简体" w:hAnsi="方正仿宋简体" w:eastAsia="方正仿宋简体" w:cs="方正仿宋简体"/>
                <w:sz w:val="28"/>
                <w:szCs w:val="28"/>
                <w:vertAlign w:val="baseline"/>
                <w:lang w:val="en-US" w:eastAsia="zh-CN"/>
              </w:rPr>
              <w:t>30</w:t>
            </w:r>
          </w:p>
        </w:tc>
      </w:tr>
      <w:tr>
        <w:tblPrEx>
          <w:shd w:val="clear" w:color="auto" w:fill="auto"/>
          <w:tblCellMar>
            <w:top w:w="0" w:type="dxa"/>
            <w:left w:w="0" w:type="dxa"/>
            <w:bottom w:w="0" w:type="dxa"/>
            <w:right w:w="0" w:type="dxa"/>
          </w:tblCellMar>
        </w:tblPrEx>
        <w:trPr>
          <w:trHeight w:val="420" w:hRule="atLeast"/>
        </w:trPr>
        <w:tc>
          <w:tcPr>
            <w:tcW w:w="5544"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驻村办工作经费</w:t>
            </w:r>
          </w:p>
        </w:tc>
        <w:tc>
          <w:tcPr>
            <w:tcW w:w="2565" w:type="dxa"/>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jc w:val="center"/>
              <w:rPr>
                <w:rFonts w:hint="eastAsia" w:ascii="仿宋_GB2312" w:hAnsi="仿宋_GB2312" w:eastAsia="仿宋_GB2312" w:cs="仿宋_GB2312"/>
                <w:sz w:val="28"/>
                <w:szCs w:val="28"/>
                <w:lang w:val="en-US" w:eastAsia="zh-CN"/>
              </w:rPr>
            </w:pPr>
            <w:r>
              <w:rPr>
                <w:rFonts w:hint="eastAsia" w:ascii="方正仿宋简体" w:hAnsi="方正仿宋简体" w:eastAsia="方正仿宋简体" w:cs="方正仿宋简体"/>
                <w:sz w:val="28"/>
                <w:szCs w:val="28"/>
                <w:vertAlign w:val="baseline"/>
                <w:lang w:val="en-US" w:eastAsia="zh-CN"/>
              </w:rPr>
              <w:t>5</w:t>
            </w:r>
          </w:p>
        </w:tc>
      </w:tr>
      <w:tr>
        <w:tblPrEx>
          <w:shd w:val="clear" w:color="auto" w:fill="auto"/>
          <w:tblCellMar>
            <w:top w:w="0" w:type="dxa"/>
            <w:left w:w="0" w:type="dxa"/>
            <w:bottom w:w="0" w:type="dxa"/>
            <w:right w:w="0" w:type="dxa"/>
          </w:tblCellMar>
        </w:tblPrEx>
        <w:trPr>
          <w:trHeight w:val="420" w:hRule="atLeast"/>
        </w:trPr>
        <w:tc>
          <w:tcPr>
            <w:tcW w:w="5544"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党员教育经费</w:t>
            </w:r>
          </w:p>
        </w:tc>
        <w:tc>
          <w:tcPr>
            <w:tcW w:w="2565" w:type="dxa"/>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jc w:val="center"/>
              <w:rPr>
                <w:rFonts w:hint="eastAsia" w:ascii="仿宋_GB2312" w:hAnsi="仿宋_GB2312" w:eastAsia="仿宋_GB2312" w:cs="仿宋_GB2312"/>
                <w:sz w:val="28"/>
                <w:szCs w:val="28"/>
                <w:lang w:val="en-US" w:eastAsia="zh-CN"/>
              </w:rPr>
            </w:pPr>
            <w:r>
              <w:rPr>
                <w:rFonts w:hint="eastAsia" w:ascii="方正仿宋简体" w:hAnsi="方正仿宋简体" w:eastAsia="方正仿宋简体" w:cs="方正仿宋简体"/>
                <w:sz w:val="28"/>
                <w:szCs w:val="28"/>
                <w:vertAlign w:val="baseline"/>
                <w:lang w:val="en-US" w:eastAsia="zh-CN"/>
              </w:rPr>
              <w:t>40</w:t>
            </w:r>
          </w:p>
        </w:tc>
      </w:tr>
      <w:tr>
        <w:tblPrEx>
          <w:shd w:val="clear" w:color="auto" w:fill="auto"/>
          <w:tblCellMar>
            <w:top w:w="0" w:type="dxa"/>
            <w:left w:w="0" w:type="dxa"/>
            <w:bottom w:w="0" w:type="dxa"/>
            <w:right w:w="0" w:type="dxa"/>
          </w:tblCellMar>
        </w:tblPrEx>
        <w:trPr>
          <w:trHeight w:val="420" w:hRule="atLeast"/>
        </w:trPr>
        <w:tc>
          <w:tcPr>
            <w:tcW w:w="5544"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公务员考察、培训、信息维护等工作经费</w:t>
            </w:r>
          </w:p>
        </w:tc>
        <w:tc>
          <w:tcPr>
            <w:tcW w:w="2565" w:type="dxa"/>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default" w:ascii="方正仿宋简体" w:hAnsi="方正仿宋简体" w:eastAsia="方正仿宋简体" w:cs="方正仿宋简体"/>
                <w:sz w:val="28"/>
                <w:szCs w:val="28"/>
                <w:vertAlign w:val="baseline"/>
                <w:lang w:val="en-US" w:eastAsia="zh-CN"/>
              </w:rPr>
            </w:pPr>
            <w:r>
              <w:rPr>
                <w:rFonts w:hint="eastAsia" w:ascii="方正仿宋简体" w:hAnsi="方正仿宋简体" w:eastAsia="方正仿宋简体" w:cs="方正仿宋简体"/>
                <w:sz w:val="28"/>
                <w:szCs w:val="28"/>
                <w:vertAlign w:val="baseline"/>
                <w:lang w:val="en-US" w:eastAsia="zh-CN"/>
              </w:rPr>
              <w:t>10</w:t>
            </w:r>
          </w:p>
        </w:tc>
      </w:tr>
      <w:tr>
        <w:tblPrEx>
          <w:shd w:val="clear" w:color="auto" w:fill="auto"/>
          <w:tblCellMar>
            <w:top w:w="0" w:type="dxa"/>
            <w:left w:w="0" w:type="dxa"/>
            <w:bottom w:w="0" w:type="dxa"/>
            <w:right w:w="0" w:type="dxa"/>
          </w:tblCellMar>
        </w:tblPrEx>
        <w:trPr>
          <w:trHeight w:val="420" w:hRule="atLeast"/>
        </w:trPr>
        <w:tc>
          <w:tcPr>
            <w:tcW w:w="5544"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老干部志愿者协会</w:t>
            </w:r>
          </w:p>
        </w:tc>
        <w:tc>
          <w:tcPr>
            <w:tcW w:w="2565" w:type="dxa"/>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default"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5</w:t>
            </w:r>
          </w:p>
        </w:tc>
      </w:tr>
      <w:tr>
        <w:tblPrEx>
          <w:tblCellMar>
            <w:top w:w="0" w:type="dxa"/>
            <w:left w:w="0" w:type="dxa"/>
            <w:bottom w:w="0" w:type="dxa"/>
            <w:right w:w="0" w:type="dxa"/>
          </w:tblCellMar>
        </w:tblPrEx>
        <w:trPr>
          <w:trHeight w:val="420" w:hRule="atLeast"/>
        </w:trPr>
        <w:tc>
          <w:tcPr>
            <w:tcW w:w="5544"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关心下一代工作经费</w:t>
            </w:r>
          </w:p>
        </w:tc>
        <w:tc>
          <w:tcPr>
            <w:tcW w:w="2565" w:type="dxa"/>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方正仿宋简体" w:hAnsi="方正仿宋简体" w:eastAsia="方正仿宋简体" w:cs="方正仿宋简体"/>
                <w:sz w:val="28"/>
                <w:szCs w:val="28"/>
                <w:lang w:val="en-US" w:eastAsia="zh-CN"/>
              </w:rPr>
              <w:t>10</w:t>
            </w:r>
          </w:p>
        </w:tc>
      </w:tr>
      <w:tr>
        <w:tblPrEx>
          <w:tblCellMar>
            <w:top w:w="0" w:type="dxa"/>
            <w:left w:w="0" w:type="dxa"/>
            <w:bottom w:w="0" w:type="dxa"/>
            <w:right w:w="0" w:type="dxa"/>
          </w:tblCellMar>
        </w:tblPrEx>
        <w:trPr>
          <w:trHeight w:val="420" w:hRule="atLeast"/>
        </w:trPr>
        <w:tc>
          <w:tcPr>
            <w:tcW w:w="5544"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离退休党工委工作经费</w:t>
            </w:r>
          </w:p>
        </w:tc>
        <w:tc>
          <w:tcPr>
            <w:tcW w:w="2565" w:type="dxa"/>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5</w:t>
            </w:r>
          </w:p>
        </w:tc>
      </w:tr>
      <w:tr>
        <w:tblPrEx>
          <w:tblCellMar>
            <w:top w:w="0" w:type="dxa"/>
            <w:left w:w="0" w:type="dxa"/>
            <w:bottom w:w="0" w:type="dxa"/>
            <w:right w:w="0" w:type="dxa"/>
          </w:tblCellMar>
        </w:tblPrEx>
        <w:trPr>
          <w:trHeight w:val="420" w:hRule="atLeast"/>
        </w:trPr>
        <w:tc>
          <w:tcPr>
            <w:tcW w:w="5544"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老年活动用车</w:t>
            </w:r>
          </w:p>
        </w:tc>
        <w:tc>
          <w:tcPr>
            <w:tcW w:w="2565" w:type="dxa"/>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2</w:t>
            </w:r>
          </w:p>
        </w:tc>
      </w:tr>
      <w:tr>
        <w:tblPrEx>
          <w:tblCellMar>
            <w:top w:w="0" w:type="dxa"/>
            <w:left w:w="0" w:type="dxa"/>
            <w:bottom w:w="0" w:type="dxa"/>
            <w:right w:w="0" w:type="dxa"/>
          </w:tblCellMar>
        </w:tblPrEx>
        <w:trPr>
          <w:trHeight w:val="420" w:hRule="atLeast"/>
        </w:trPr>
        <w:tc>
          <w:tcPr>
            <w:tcW w:w="5544"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老年活动工作经费</w:t>
            </w:r>
          </w:p>
        </w:tc>
        <w:tc>
          <w:tcPr>
            <w:tcW w:w="2565" w:type="dxa"/>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12</w:t>
            </w:r>
          </w:p>
        </w:tc>
      </w:tr>
      <w:tr>
        <w:tblPrEx>
          <w:tblCellMar>
            <w:top w:w="0" w:type="dxa"/>
            <w:left w:w="0" w:type="dxa"/>
            <w:bottom w:w="0" w:type="dxa"/>
            <w:right w:w="0" w:type="dxa"/>
          </w:tblCellMar>
        </w:tblPrEx>
        <w:trPr>
          <w:trHeight w:val="420" w:hRule="atLeast"/>
        </w:trPr>
        <w:tc>
          <w:tcPr>
            <w:tcW w:w="5544"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z w:val="28"/>
                <w:szCs w:val="28"/>
                <w:lang w:val="en-US" w:eastAsia="zh-CN"/>
              </w:rPr>
              <w:t>老干特需经费</w:t>
            </w:r>
          </w:p>
        </w:tc>
        <w:tc>
          <w:tcPr>
            <w:tcW w:w="2565" w:type="dxa"/>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69</w:t>
            </w:r>
          </w:p>
        </w:tc>
      </w:tr>
      <w:tr>
        <w:tblPrEx>
          <w:tblCellMar>
            <w:top w:w="0" w:type="dxa"/>
            <w:left w:w="0" w:type="dxa"/>
            <w:bottom w:w="0" w:type="dxa"/>
            <w:right w:w="0" w:type="dxa"/>
          </w:tblCellMar>
        </w:tblPrEx>
        <w:trPr>
          <w:trHeight w:val="420" w:hRule="atLeast"/>
        </w:trPr>
        <w:tc>
          <w:tcPr>
            <w:tcW w:w="5544"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特困离退休干部及孀帮扶专项</w:t>
            </w:r>
          </w:p>
        </w:tc>
        <w:tc>
          <w:tcPr>
            <w:tcW w:w="2565" w:type="dxa"/>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10</w:t>
            </w:r>
          </w:p>
        </w:tc>
      </w:tr>
      <w:tr>
        <w:tblPrEx>
          <w:tblCellMar>
            <w:top w:w="0" w:type="dxa"/>
            <w:left w:w="0" w:type="dxa"/>
            <w:bottom w:w="0" w:type="dxa"/>
            <w:right w:w="0" w:type="dxa"/>
          </w:tblCellMar>
        </w:tblPrEx>
        <w:trPr>
          <w:trHeight w:val="420" w:hRule="atLeast"/>
        </w:trPr>
        <w:tc>
          <w:tcPr>
            <w:tcW w:w="5544"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市直机关工委经费</w:t>
            </w:r>
          </w:p>
        </w:tc>
        <w:tc>
          <w:tcPr>
            <w:tcW w:w="2565" w:type="dxa"/>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default"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5</w:t>
            </w:r>
          </w:p>
        </w:tc>
      </w:tr>
      <w:tr>
        <w:tblPrEx>
          <w:tblCellMar>
            <w:top w:w="0" w:type="dxa"/>
            <w:left w:w="0" w:type="dxa"/>
            <w:bottom w:w="0" w:type="dxa"/>
            <w:right w:w="0" w:type="dxa"/>
          </w:tblCellMar>
        </w:tblPrEx>
        <w:trPr>
          <w:trHeight w:val="420" w:hRule="atLeast"/>
        </w:trPr>
        <w:tc>
          <w:tcPr>
            <w:tcW w:w="5544"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主题班教育</w:t>
            </w:r>
          </w:p>
        </w:tc>
        <w:tc>
          <w:tcPr>
            <w:tcW w:w="2565" w:type="dxa"/>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default" w:ascii="方正仿宋简体" w:hAnsi="方正仿宋简体" w:eastAsia="方正仿宋简体" w:cs="方正仿宋简体"/>
                <w:sz w:val="28"/>
                <w:szCs w:val="28"/>
                <w:lang w:val="en-US" w:eastAsia="zh-CN"/>
              </w:rPr>
            </w:pPr>
            <w:r>
              <w:rPr>
                <w:rFonts w:hint="eastAsia" w:ascii="方正仿宋简体" w:hAnsi="方正仿宋简体" w:eastAsia="方正仿宋简体" w:cs="方正仿宋简体"/>
                <w:sz w:val="28"/>
                <w:szCs w:val="28"/>
                <w:lang w:val="en-US" w:eastAsia="zh-CN"/>
              </w:rPr>
              <w:t>80</w:t>
            </w:r>
          </w:p>
        </w:tc>
      </w:tr>
      <w:tr>
        <w:tblPrEx>
          <w:tblCellMar>
            <w:top w:w="0" w:type="dxa"/>
            <w:left w:w="0" w:type="dxa"/>
            <w:bottom w:w="0" w:type="dxa"/>
            <w:right w:w="0" w:type="dxa"/>
          </w:tblCellMar>
        </w:tblPrEx>
        <w:trPr>
          <w:trHeight w:val="390" w:hRule="atLeast"/>
        </w:trPr>
        <w:tc>
          <w:tcPr>
            <w:tcW w:w="5544"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Arial" w:eastAsia="仿宋_GB2312" w:cs="仿宋_GB2312"/>
                <w:i w:val="0"/>
                <w:color w:val="000000"/>
                <w:sz w:val="28"/>
                <w:szCs w:val="28"/>
                <w:u w:val="none"/>
              </w:rPr>
            </w:pPr>
            <w:r>
              <w:rPr>
                <w:rFonts w:hint="eastAsia" w:ascii="楷体_GB2312" w:hAnsi="楷体_GB2312" w:eastAsia="楷体_GB2312" w:cs="楷体_GB2312"/>
                <w:sz w:val="32"/>
                <w:szCs w:val="32"/>
                <w:lang w:val="en-US" w:eastAsia="zh-CN"/>
              </w:rPr>
              <w:t>合  计</w:t>
            </w:r>
          </w:p>
        </w:tc>
        <w:tc>
          <w:tcPr>
            <w:tcW w:w="2565" w:type="dxa"/>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default" w:ascii="仿宋_GB2312" w:hAnsi="Arial" w:eastAsia="仿宋_GB2312" w:cs="仿宋_GB2312"/>
                <w:i w:val="0"/>
                <w:color w:val="000000"/>
                <w:sz w:val="28"/>
                <w:szCs w:val="28"/>
                <w:u w:val="none"/>
                <w:lang w:val="en-US"/>
              </w:rPr>
            </w:pPr>
            <w:r>
              <w:rPr>
                <w:rFonts w:hint="eastAsia" w:ascii="方正仿宋简体" w:hAnsi="方正仿宋简体" w:eastAsia="方正仿宋简体" w:cs="方正仿宋简体"/>
                <w:sz w:val="28"/>
                <w:szCs w:val="28"/>
                <w:lang w:val="en-US" w:eastAsia="zh-CN"/>
              </w:rPr>
              <w:t>470</w:t>
            </w:r>
          </w:p>
        </w:tc>
      </w:tr>
    </w:tbl>
    <w:p>
      <w:pPr>
        <w:numPr>
          <w:ilvl w:val="0"/>
          <w:numId w:val="0"/>
        </w:numPr>
        <w:spacing w:line="560" w:lineRule="exact"/>
        <w:ind w:firstLine="640"/>
        <w:rPr>
          <w:rFonts w:hint="eastAsia" w:ascii="方正仿宋简体" w:hAnsi="方正仿宋简体" w:eastAsia="方正仿宋简体" w:cs="方正仿宋简体"/>
          <w:sz w:val="32"/>
          <w:szCs w:val="32"/>
          <w:lang w:val="en-US" w:eastAsia="zh-CN"/>
        </w:rPr>
      </w:pPr>
    </w:p>
    <w:p>
      <w:pPr>
        <w:numPr>
          <w:ilvl w:val="0"/>
          <w:numId w:val="1"/>
        </w:numPr>
        <w:spacing w:line="560" w:lineRule="exact"/>
        <w:ind w:firstLine="640" w:firstLineChars="200"/>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项目绩效情况分析</w:t>
      </w:r>
    </w:p>
    <w:p>
      <w:pPr>
        <w:ind w:firstLine="640" w:firstLineChars="200"/>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数量指标</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严格控制费用支出，做到量入为出</w:t>
      </w:r>
      <w:r>
        <w:rPr>
          <w:rFonts w:hint="eastAsia" w:ascii="方正仿宋简体" w:hAnsi="方正仿宋简体" w:eastAsia="方正仿宋简体" w:cs="方正仿宋简体"/>
          <w:sz w:val="32"/>
          <w:szCs w:val="32"/>
          <w:lang w:eastAsia="zh-CN"/>
        </w:rPr>
        <w:t>。</w:t>
      </w:r>
    </w:p>
    <w:p>
      <w:pPr>
        <w:ind w:firstLine="640" w:firstLineChars="200"/>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质量指标</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加强基层党建，班子建设，人才队伍建设。</w:t>
      </w:r>
    </w:p>
    <w:p>
      <w:pPr>
        <w:ind w:firstLine="640" w:firstLineChars="200"/>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时效指标</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本年度内完成</w:t>
      </w:r>
      <w:r>
        <w:rPr>
          <w:rFonts w:hint="eastAsia" w:ascii="方正仿宋简体" w:hAnsi="方正仿宋简体" w:eastAsia="方正仿宋简体" w:cs="方正仿宋简体"/>
          <w:sz w:val="32"/>
          <w:szCs w:val="32"/>
          <w:lang w:eastAsia="zh-CN"/>
        </w:rPr>
        <w:t>。</w:t>
      </w:r>
    </w:p>
    <w:p>
      <w:pPr>
        <w:ind w:firstLine="640" w:firstLineChars="200"/>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成本指标</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严控经费</w:t>
      </w:r>
      <w:r>
        <w:rPr>
          <w:rFonts w:hint="eastAsia" w:ascii="方正仿宋简体" w:hAnsi="方正仿宋简体" w:eastAsia="方正仿宋简体" w:cs="方正仿宋简体"/>
          <w:sz w:val="32"/>
          <w:szCs w:val="32"/>
          <w:lang w:eastAsia="zh-CN"/>
        </w:rPr>
        <w:t>。</w:t>
      </w:r>
    </w:p>
    <w:p>
      <w:pPr>
        <w:ind w:firstLine="640" w:firstLineChars="200"/>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经济效益指标</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为全市经济社会又好又快发展提供组织保障</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　</w:t>
      </w:r>
    </w:p>
    <w:p>
      <w:pPr>
        <w:ind w:firstLine="640" w:firstLineChars="200"/>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社会效益指标</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激励干部新时代新担当新作为，在全市营造干事创业的浓厚氛围。　</w:t>
      </w:r>
    </w:p>
    <w:p>
      <w:pPr>
        <w:ind w:firstLine="640" w:firstLineChars="200"/>
        <w:rPr>
          <w:rFonts w:hint="eastAsia" w:ascii="方正仿宋简体" w:eastAsia="方正仿宋简体"/>
          <w:sz w:val="32"/>
          <w:lang w:eastAsia="zh-CN"/>
        </w:rPr>
      </w:pPr>
      <w:r>
        <w:rPr>
          <w:rFonts w:hint="eastAsia" w:ascii="方正仿宋简体" w:hAnsi="方正仿宋简体" w:eastAsia="方正仿宋简体" w:cs="方正仿宋简体"/>
          <w:sz w:val="32"/>
          <w:szCs w:val="32"/>
        </w:rPr>
        <w:t>可持续影响指标</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为全市经济社会又好又快发展提供组织保障社会公众或服务对象满意度指标优化基层党组织建设，增强党组织战斗力</w:t>
      </w:r>
      <w:r>
        <w:rPr>
          <w:rFonts w:hint="eastAsia" w:ascii="方正仿宋简体" w:hAnsi="方正仿宋简体" w:eastAsia="方正仿宋简体" w:cs="方正仿宋简体"/>
          <w:sz w:val="32"/>
          <w:szCs w:val="32"/>
          <w:lang w:eastAsia="zh-CN"/>
        </w:rPr>
        <w:t>。</w:t>
      </w:r>
    </w:p>
    <w:p>
      <w:pPr>
        <w:ind w:firstLine="640" w:firstLineChars="200"/>
        <w:rPr>
          <w:rFonts w:hint="eastAsia" w:ascii="方正仿宋简体" w:eastAsia="方正仿宋简体"/>
          <w:sz w:val="32"/>
        </w:rPr>
      </w:pPr>
    </w:p>
    <w:p>
      <w:pPr>
        <w:numPr>
          <w:ilvl w:val="0"/>
          <w:numId w:val="0"/>
        </w:numPr>
        <w:spacing w:line="560" w:lineRule="exact"/>
        <w:ind w:firstLine="960" w:firstLineChars="3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eastAsia="zh-CN"/>
        </w:rPr>
        <w:t>三、综合评价情况及评价结论</w:t>
      </w:r>
    </w:p>
    <w:p>
      <w:pPr>
        <w:numPr>
          <w:ilvl w:val="0"/>
          <w:numId w:val="0"/>
        </w:numPr>
        <w:spacing w:line="560" w:lineRule="exact"/>
        <w:ind w:firstLine="640"/>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2021年我部的专项资金项目总体评价是：顺利准确完成预算配置、执行、管理的各项指标，保证了各项重点工作的完成。</w:t>
      </w:r>
    </w:p>
    <w:p>
      <w:pPr>
        <w:numPr>
          <w:ilvl w:val="0"/>
          <w:numId w:val="0"/>
        </w:numPr>
        <w:spacing w:line="560" w:lineRule="exact"/>
        <w:ind w:firstLine="640"/>
        <w:rPr>
          <w:rFonts w:hint="default" w:ascii="方正仿宋简体" w:hAnsi="方正仿宋简体" w:eastAsia="方正仿宋简体" w:cs="方正仿宋简体"/>
          <w:sz w:val="32"/>
          <w:szCs w:val="32"/>
          <w:lang w:val="en-US" w:eastAsia="zh-CN"/>
        </w:rPr>
      </w:pPr>
    </w:p>
    <w:p>
      <w:pPr>
        <w:spacing w:line="560" w:lineRule="exact"/>
        <w:ind w:firstLine="640" w:firstLineChars="200"/>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lang w:eastAsia="zh-CN"/>
        </w:rPr>
        <w:t>四、改进措施和</w:t>
      </w:r>
      <w:r>
        <w:rPr>
          <w:rFonts w:hint="eastAsia" w:ascii="方正楷体_GBK" w:hAnsi="方正楷体_GBK" w:eastAsia="方正楷体_GBK" w:cs="方正楷体_GBK"/>
          <w:sz w:val="32"/>
          <w:szCs w:val="32"/>
        </w:rPr>
        <w:t>有关建议</w:t>
      </w:r>
    </w:p>
    <w:p>
      <w:pPr>
        <w:spacing w:line="560" w:lineRule="exact"/>
        <w:ind w:firstLine="640" w:firstLineChars="200"/>
        <w:rPr>
          <w:rFonts w:hint="eastAsia" w:ascii="方正仿宋简体" w:hAnsi="方正仿宋简体" w:eastAsia="方正仿宋简体" w:cs="方正仿宋简体"/>
          <w:sz w:val="32"/>
          <w:szCs w:val="32"/>
          <w:lang w:eastAsia="zh-CN"/>
        </w:rPr>
      </w:pPr>
      <w:r>
        <w:rPr>
          <w:rFonts w:hint="eastAsia" w:ascii="方正楷体_GBK" w:hAnsi="方正楷体_GBK" w:eastAsia="方正楷体_GBK" w:cs="方正楷体_GBK"/>
          <w:sz w:val="32"/>
          <w:szCs w:val="32"/>
          <w:lang w:eastAsia="zh-CN"/>
        </w:rPr>
        <w:t>（一）存在的主要问题</w:t>
      </w:r>
    </w:p>
    <w:p>
      <w:pPr>
        <w:spacing w:line="560" w:lineRule="exact"/>
        <w:ind w:firstLine="640" w:firstLineChars="200"/>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1、随着各项工作的顺利开展，实际需要资金往往大于预算金额；</w:t>
      </w:r>
    </w:p>
    <w:p>
      <w:pPr>
        <w:spacing w:line="560" w:lineRule="exact"/>
        <w:ind w:firstLine="640" w:firstLineChars="200"/>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2、项目资金的使用效益、监管还有进一步提升空间；</w:t>
      </w:r>
    </w:p>
    <w:p>
      <w:pPr>
        <w:spacing w:line="560" w:lineRule="exact"/>
        <w:ind w:firstLine="640" w:firstLineChars="200"/>
        <w:rPr>
          <w:rFonts w:hint="eastAsia" w:ascii="方正仿宋简体" w:hAnsi="方正仿宋简体" w:eastAsia="方正仿宋简体" w:cs="方正仿宋简体"/>
          <w:sz w:val="32"/>
          <w:szCs w:val="32"/>
          <w:lang w:val="en-US" w:eastAsia="zh-CN"/>
        </w:rPr>
      </w:pPr>
    </w:p>
    <w:p>
      <w:pPr>
        <w:numPr>
          <w:ilvl w:val="0"/>
          <w:numId w:val="0"/>
        </w:numPr>
        <w:spacing w:line="560" w:lineRule="exact"/>
        <w:ind w:leftChars="200" w:firstLine="320" w:firstLineChars="100"/>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（二）相关建议</w:t>
      </w:r>
    </w:p>
    <w:p>
      <w:pPr>
        <w:spacing w:line="560" w:lineRule="exact"/>
        <w:ind w:firstLine="640" w:firstLineChars="200"/>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1、提高对项目资金指标的敏感度，各科室之间多沟通，了解实际需要；</w:t>
      </w:r>
    </w:p>
    <w:p>
      <w:pPr>
        <w:spacing w:line="560" w:lineRule="exact"/>
        <w:ind w:firstLine="640" w:firstLineChars="200"/>
        <w:rPr>
          <w:rFonts w:hint="default"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2、加强资金监管，规范资金使用范围。</w:t>
      </w:r>
    </w:p>
    <w:p>
      <w:pPr>
        <w:spacing w:line="560" w:lineRule="exact"/>
        <w:rPr>
          <w:rFonts w:ascii="方正仿宋简体" w:hAnsi="方正仿宋简体" w:eastAsia="方正仿宋简体" w:cs="方正仿宋简体"/>
          <w:sz w:val="32"/>
          <w:szCs w:val="32"/>
        </w:rPr>
      </w:pPr>
    </w:p>
    <w:p>
      <w:pPr>
        <w:spacing w:line="560" w:lineRule="exact"/>
        <w:jc w:val="center"/>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rPr>
        <w:t>中共沅江市委</w:t>
      </w:r>
      <w:r>
        <w:rPr>
          <w:rFonts w:hint="eastAsia" w:ascii="方正仿宋简体" w:hAnsi="方正仿宋简体" w:eastAsia="方正仿宋简体" w:cs="方正仿宋简体"/>
          <w:sz w:val="32"/>
          <w:szCs w:val="32"/>
          <w:lang w:eastAsia="zh-CN"/>
        </w:rPr>
        <w:t>组织部</w:t>
      </w:r>
    </w:p>
    <w:p>
      <w:pPr>
        <w:spacing w:line="560" w:lineRule="exact"/>
        <w:ind w:right="560"/>
        <w:jc w:val="center"/>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 xml:space="preserve">                                </w:t>
      </w: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rPr>
        <w:t>202</w:t>
      </w:r>
      <w:r>
        <w:rPr>
          <w:rFonts w:hint="eastAsia" w:ascii="方正仿宋简体" w:hAnsi="方正仿宋简体" w:eastAsia="方正仿宋简体" w:cs="方正仿宋简体"/>
          <w:sz w:val="32"/>
          <w:szCs w:val="32"/>
          <w:lang w:val="en-US" w:eastAsia="zh-CN"/>
        </w:rPr>
        <w:t>2</w:t>
      </w:r>
      <w:r>
        <w:rPr>
          <w:rFonts w:hint="eastAsia" w:ascii="方正仿宋简体" w:hAnsi="方正仿宋简体" w:eastAsia="方正仿宋简体" w:cs="方正仿宋简体"/>
          <w:sz w:val="32"/>
          <w:szCs w:val="32"/>
        </w:rPr>
        <w:t>年</w:t>
      </w:r>
      <w:r>
        <w:rPr>
          <w:rFonts w:hint="eastAsia" w:ascii="方正仿宋简体" w:hAnsi="方正仿宋简体" w:eastAsia="方正仿宋简体" w:cs="方正仿宋简体"/>
          <w:sz w:val="32"/>
          <w:szCs w:val="32"/>
          <w:lang w:val="en-US" w:eastAsia="zh-CN"/>
        </w:rPr>
        <w:t>7</w:t>
      </w:r>
      <w:r>
        <w:rPr>
          <w:rFonts w:hint="eastAsia" w:ascii="方正仿宋简体" w:hAnsi="方正仿宋简体" w:eastAsia="方正仿宋简体" w:cs="方正仿宋简体"/>
          <w:sz w:val="32"/>
          <w:szCs w:val="32"/>
        </w:rPr>
        <w:t>月</w:t>
      </w:r>
      <w:r>
        <w:rPr>
          <w:rFonts w:hint="eastAsia" w:ascii="方正仿宋简体" w:hAnsi="方正仿宋简体" w:eastAsia="方正仿宋简体" w:cs="方正仿宋简体"/>
          <w:sz w:val="32"/>
          <w:szCs w:val="32"/>
          <w:lang w:val="en-US" w:eastAsia="zh-CN"/>
        </w:rPr>
        <w:t>29</w:t>
      </w:r>
      <w:r>
        <w:rPr>
          <w:rFonts w:hint="eastAsia" w:ascii="方正仿宋简体" w:hAnsi="方正仿宋简体" w:eastAsia="方正仿宋简体" w:cs="方正仿宋简体"/>
          <w:sz w:val="32"/>
          <w:szCs w:val="32"/>
        </w:rPr>
        <w:t>日</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楷体_GBK">
    <w:altName w:val="微软雅黑"/>
    <w:panose1 w:val="00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660634"/>
    </w:sdtPr>
    <w:sdtContent>
      <w:p>
        <w:pPr>
          <w:pStyle w:val="3"/>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C39536"/>
    <w:multiLevelType w:val="singleLevel"/>
    <w:tmpl w:val="2DC3953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kMjgxM2ZhZWQzMTA4MjEzN2JmZmYxMjYzOGEzZDMifQ=="/>
  </w:docVars>
  <w:rsids>
    <w:rsidRoot w:val="00172A27"/>
    <w:rsid w:val="00021395"/>
    <w:rsid w:val="0003034E"/>
    <w:rsid w:val="00056E91"/>
    <w:rsid w:val="00057D91"/>
    <w:rsid w:val="000613DD"/>
    <w:rsid w:val="00076B96"/>
    <w:rsid w:val="000853E7"/>
    <w:rsid w:val="000928FA"/>
    <w:rsid w:val="000A6CF4"/>
    <w:rsid w:val="000B7C40"/>
    <w:rsid w:val="00115A0F"/>
    <w:rsid w:val="00163635"/>
    <w:rsid w:val="0016495E"/>
    <w:rsid w:val="001854E9"/>
    <w:rsid w:val="001F0ACC"/>
    <w:rsid w:val="00216356"/>
    <w:rsid w:val="00243A6D"/>
    <w:rsid w:val="00250F09"/>
    <w:rsid w:val="002945EF"/>
    <w:rsid w:val="002A4E50"/>
    <w:rsid w:val="002C67D8"/>
    <w:rsid w:val="00300477"/>
    <w:rsid w:val="003131CE"/>
    <w:rsid w:val="00321236"/>
    <w:rsid w:val="003255C4"/>
    <w:rsid w:val="0036441E"/>
    <w:rsid w:val="003660E0"/>
    <w:rsid w:val="003968C9"/>
    <w:rsid w:val="003D5CAD"/>
    <w:rsid w:val="003F5621"/>
    <w:rsid w:val="00435805"/>
    <w:rsid w:val="004430D7"/>
    <w:rsid w:val="004675EC"/>
    <w:rsid w:val="00477333"/>
    <w:rsid w:val="00504291"/>
    <w:rsid w:val="005375DB"/>
    <w:rsid w:val="005B58A4"/>
    <w:rsid w:val="006174C2"/>
    <w:rsid w:val="006522CA"/>
    <w:rsid w:val="006563BA"/>
    <w:rsid w:val="006710F0"/>
    <w:rsid w:val="00712195"/>
    <w:rsid w:val="007A3422"/>
    <w:rsid w:val="007A6433"/>
    <w:rsid w:val="007F58EA"/>
    <w:rsid w:val="008302B6"/>
    <w:rsid w:val="00860076"/>
    <w:rsid w:val="0092692D"/>
    <w:rsid w:val="00981C4B"/>
    <w:rsid w:val="009D0AE8"/>
    <w:rsid w:val="009E3F87"/>
    <w:rsid w:val="00A67970"/>
    <w:rsid w:val="00AC42B2"/>
    <w:rsid w:val="00BB14E1"/>
    <w:rsid w:val="00BC62DA"/>
    <w:rsid w:val="00C453D3"/>
    <w:rsid w:val="00C54B33"/>
    <w:rsid w:val="00C64ACA"/>
    <w:rsid w:val="00CA5F69"/>
    <w:rsid w:val="00CE5A43"/>
    <w:rsid w:val="00D3595B"/>
    <w:rsid w:val="00D62180"/>
    <w:rsid w:val="00D6317E"/>
    <w:rsid w:val="00D86F78"/>
    <w:rsid w:val="00DA3DCB"/>
    <w:rsid w:val="00DB3561"/>
    <w:rsid w:val="00DC6C3E"/>
    <w:rsid w:val="00DD7EB0"/>
    <w:rsid w:val="00DF72BB"/>
    <w:rsid w:val="00E136E8"/>
    <w:rsid w:val="00E15D70"/>
    <w:rsid w:val="00E25D61"/>
    <w:rsid w:val="00E32F25"/>
    <w:rsid w:val="00E57FEA"/>
    <w:rsid w:val="00E75C37"/>
    <w:rsid w:val="00E86F08"/>
    <w:rsid w:val="00EA1664"/>
    <w:rsid w:val="00F01EC2"/>
    <w:rsid w:val="00F06D9E"/>
    <w:rsid w:val="00F27070"/>
    <w:rsid w:val="00F40AB0"/>
    <w:rsid w:val="00FA6E3D"/>
    <w:rsid w:val="00FC5679"/>
    <w:rsid w:val="025306A7"/>
    <w:rsid w:val="0304488D"/>
    <w:rsid w:val="036E3BEC"/>
    <w:rsid w:val="04014DE4"/>
    <w:rsid w:val="051A658B"/>
    <w:rsid w:val="078743E3"/>
    <w:rsid w:val="0C2162D4"/>
    <w:rsid w:val="0C262209"/>
    <w:rsid w:val="0CDE60D7"/>
    <w:rsid w:val="0D3B0E74"/>
    <w:rsid w:val="0F855A53"/>
    <w:rsid w:val="14187C29"/>
    <w:rsid w:val="1663268E"/>
    <w:rsid w:val="17AD6683"/>
    <w:rsid w:val="184266BF"/>
    <w:rsid w:val="190071E9"/>
    <w:rsid w:val="192F78EF"/>
    <w:rsid w:val="193C25BA"/>
    <w:rsid w:val="196A0273"/>
    <w:rsid w:val="19F91337"/>
    <w:rsid w:val="1A3B1BFA"/>
    <w:rsid w:val="1AFB0E21"/>
    <w:rsid w:val="1B3F51C3"/>
    <w:rsid w:val="1B7956D6"/>
    <w:rsid w:val="1BB84271"/>
    <w:rsid w:val="1DB93551"/>
    <w:rsid w:val="1E001AA4"/>
    <w:rsid w:val="1EC45D38"/>
    <w:rsid w:val="1F5F6C5E"/>
    <w:rsid w:val="20A31D8D"/>
    <w:rsid w:val="22144DAB"/>
    <w:rsid w:val="224535FF"/>
    <w:rsid w:val="24DF0F65"/>
    <w:rsid w:val="2586649A"/>
    <w:rsid w:val="26BC4EB9"/>
    <w:rsid w:val="26BF5649"/>
    <w:rsid w:val="26D666E0"/>
    <w:rsid w:val="27237D91"/>
    <w:rsid w:val="2836506B"/>
    <w:rsid w:val="286A416D"/>
    <w:rsid w:val="2A1A3316"/>
    <w:rsid w:val="2CFD6F3E"/>
    <w:rsid w:val="2E5E0836"/>
    <w:rsid w:val="2FC00EA9"/>
    <w:rsid w:val="2FF64587"/>
    <w:rsid w:val="300B3C63"/>
    <w:rsid w:val="313F7DF3"/>
    <w:rsid w:val="32654145"/>
    <w:rsid w:val="32B40999"/>
    <w:rsid w:val="32F0645B"/>
    <w:rsid w:val="331949F8"/>
    <w:rsid w:val="33EF639F"/>
    <w:rsid w:val="34A50468"/>
    <w:rsid w:val="36FF633B"/>
    <w:rsid w:val="38A32E61"/>
    <w:rsid w:val="39112072"/>
    <w:rsid w:val="39894DBE"/>
    <w:rsid w:val="3A9C2FE6"/>
    <w:rsid w:val="3AAC6101"/>
    <w:rsid w:val="3AD55484"/>
    <w:rsid w:val="3C0B0DA0"/>
    <w:rsid w:val="3D2F445C"/>
    <w:rsid w:val="3D8203AC"/>
    <w:rsid w:val="3F1707C7"/>
    <w:rsid w:val="3F8259E3"/>
    <w:rsid w:val="3F982207"/>
    <w:rsid w:val="3FD242E4"/>
    <w:rsid w:val="404B67E3"/>
    <w:rsid w:val="40CF046C"/>
    <w:rsid w:val="41D1789C"/>
    <w:rsid w:val="446F43D0"/>
    <w:rsid w:val="458D4106"/>
    <w:rsid w:val="45F62106"/>
    <w:rsid w:val="47B81AA9"/>
    <w:rsid w:val="49CA37BF"/>
    <w:rsid w:val="4BD90E54"/>
    <w:rsid w:val="513631A4"/>
    <w:rsid w:val="51DC20D2"/>
    <w:rsid w:val="527473A1"/>
    <w:rsid w:val="52C20A5C"/>
    <w:rsid w:val="54907A1E"/>
    <w:rsid w:val="56012F3B"/>
    <w:rsid w:val="56391066"/>
    <w:rsid w:val="563C659E"/>
    <w:rsid w:val="57905FB8"/>
    <w:rsid w:val="57E953E7"/>
    <w:rsid w:val="581A5757"/>
    <w:rsid w:val="59A108D8"/>
    <w:rsid w:val="5B1123D7"/>
    <w:rsid w:val="5BC604BE"/>
    <w:rsid w:val="5BE65438"/>
    <w:rsid w:val="5C495737"/>
    <w:rsid w:val="5C5F1F26"/>
    <w:rsid w:val="5CA630D0"/>
    <w:rsid w:val="5CD62FC1"/>
    <w:rsid w:val="5CE55C46"/>
    <w:rsid w:val="5DBC4048"/>
    <w:rsid w:val="5DBF4AD8"/>
    <w:rsid w:val="5DC610BC"/>
    <w:rsid w:val="5FA70D1E"/>
    <w:rsid w:val="60902C71"/>
    <w:rsid w:val="6178493D"/>
    <w:rsid w:val="621C5E74"/>
    <w:rsid w:val="63E14AEE"/>
    <w:rsid w:val="63F257A0"/>
    <w:rsid w:val="642342F2"/>
    <w:rsid w:val="647C0A4A"/>
    <w:rsid w:val="65CC7E3D"/>
    <w:rsid w:val="66C04485"/>
    <w:rsid w:val="691254E3"/>
    <w:rsid w:val="6ADF0526"/>
    <w:rsid w:val="6C9F5FD8"/>
    <w:rsid w:val="6D2E1114"/>
    <w:rsid w:val="6D7C5636"/>
    <w:rsid w:val="70703F5C"/>
    <w:rsid w:val="70BB1D56"/>
    <w:rsid w:val="70F4573B"/>
    <w:rsid w:val="7126750E"/>
    <w:rsid w:val="712B1233"/>
    <w:rsid w:val="727F429C"/>
    <w:rsid w:val="74097730"/>
    <w:rsid w:val="74380318"/>
    <w:rsid w:val="744A3BFE"/>
    <w:rsid w:val="74FA6604"/>
    <w:rsid w:val="76EC02AF"/>
    <w:rsid w:val="7752364F"/>
    <w:rsid w:val="77FB18E9"/>
    <w:rsid w:val="794A5044"/>
    <w:rsid w:val="7984307B"/>
    <w:rsid w:val="7B2C5158"/>
    <w:rsid w:val="7BFB40A4"/>
    <w:rsid w:val="7F995F53"/>
    <w:rsid w:val="7FC6797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qFormat/>
    <w:uiPriority w:val="34"/>
    <w:pPr>
      <w:ind w:firstLine="420" w:firstLineChars="200"/>
    </w:p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qFormat/>
    <w:uiPriority w:val="99"/>
    <w:rPr>
      <w:sz w:val="18"/>
      <w:szCs w:val="18"/>
    </w:rPr>
  </w:style>
  <w:style w:type="character" w:customStyle="1" w:styleId="11">
    <w:name w:val="批注框文本 Char"/>
    <w:basedOn w:val="7"/>
    <w:link w:val="2"/>
    <w:semiHidden/>
    <w:qFormat/>
    <w:uiPriority w:val="99"/>
    <w:rPr>
      <w:rFonts w:asciiTheme="minorHAnsi" w:hAnsiTheme="minorHAnsi" w:eastAsiaTheme="minorEastAsia" w:cstheme="minorBidi"/>
      <w:kern w:val="2"/>
      <w:sz w:val="18"/>
      <w:szCs w:val="18"/>
    </w:rPr>
  </w:style>
  <w:style w:type="character" w:customStyle="1" w:styleId="12">
    <w:name w:val="font11"/>
    <w:basedOn w:val="7"/>
    <w:qFormat/>
    <w:uiPriority w:val="0"/>
    <w:rPr>
      <w:rFonts w:hint="eastAsia"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2E4F39-D727-4B04-971A-0C65D59FC39B}">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Pages>
  <Words>3196</Words>
  <Characters>3248</Characters>
  <Lines>12</Lines>
  <Paragraphs>3</Paragraphs>
  <TotalTime>9</TotalTime>
  <ScaleCrop>false</ScaleCrop>
  <LinksUpToDate>false</LinksUpToDate>
  <CharactersWithSpaces>3320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2020-08-14T08:59:00Z</dcterms:created>
  <dc:creator>Administrator</dc:creator>
  <cp:lastModifiedBy>内秀的袁小胖</cp:lastModifiedBy>
  <cp:lastPrinted>2022-08-01T02:26:58Z</cp:lastPrinted>
  <dcterms:modified xsi:type="dcterms:W3CDTF">2022-08-01T02:27:07Z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44896CB05B6C421982B52AADBBF988EC</vt:lpwstr>
  </property>
</Properties>
</file>