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0" w:beforeAutospacing="0" w:after="750" w:afterAutospacing="0"/>
        <w:ind w:left="0" w:right="0" w:firstLine="0"/>
        <w:jc w:val="center"/>
        <w:rPr>
          <w:rFonts w:ascii="微软雅黑" w:hAnsi="微软雅黑" w:eastAsia="微软雅黑" w:cs="微软雅黑"/>
          <w:b w:val="0"/>
          <w:i w:val="0"/>
          <w:caps w:val="0"/>
          <w:color w:val="000000"/>
          <w:spacing w:val="0"/>
          <w:sz w:val="42"/>
          <w:szCs w:val="42"/>
        </w:rPr>
      </w:pPr>
      <w:r>
        <w:rPr>
          <w:rFonts w:hint="eastAsia" w:ascii="微软雅黑" w:hAnsi="微软雅黑" w:eastAsia="微软雅黑" w:cs="微软雅黑"/>
          <w:b w:val="0"/>
          <w:i w:val="0"/>
          <w:caps w:val="0"/>
          <w:color w:val="000000"/>
          <w:spacing w:val="0"/>
          <w:sz w:val="42"/>
          <w:szCs w:val="42"/>
          <w:bdr w:val="none" w:color="auto" w:sz="0" w:space="0"/>
          <w:shd w:val="clear" w:fill="FFFFFF"/>
        </w:rPr>
        <w:t>沅江市国土资源局2019年度部门决算公开（含二级机构）</w:t>
      </w:r>
    </w:p>
    <w:p>
      <w:pPr>
        <w:keepNext w:val="0"/>
        <w:keepLines w:val="0"/>
        <w:widowControl/>
        <w:suppressLineNumbers w:val="0"/>
        <w:shd w:val="clear" w:fill="FFFFFF"/>
        <w:spacing w:line="420" w:lineRule="atLeast"/>
        <w:ind w:left="0" w:firstLine="0"/>
        <w:jc w:val="left"/>
        <w:rPr>
          <w:rFonts w:hint="eastAsia" w:ascii="微软雅黑" w:hAnsi="微软雅黑" w:eastAsia="微软雅黑" w:cs="微软雅黑"/>
          <w:i w:val="0"/>
          <w:caps w:val="0"/>
          <w:color w:val="000000"/>
          <w:spacing w:val="0"/>
          <w:sz w:val="21"/>
          <w:szCs w:val="21"/>
        </w:rPr>
      </w:pPr>
    </w:p>
    <w:p>
      <w:pPr>
        <w:keepNext w:val="0"/>
        <w:keepLines w:val="0"/>
        <w:widowControl/>
        <w:suppressLineNumbers w:val="0"/>
        <w:shd w:val="clear" w:fill="FFFFFF"/>
        <w:spacing w:before="75" w:beforeAutospacing="0" w:after="120" w:afterAutospacing="0"/>
        <w:ind w:left="0" w:firstLine="0"/>
        <w:jc w:val="left"/>
        <w:rPr>
          <w:rFonts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shd w:val="clear" w:fill="FFFFFF"/>
          <w:lang w:val="en-US" w:eastAsia="zh-CN" w:bidi="ar"/>
        </w:rPr>
        <w:drawing>
          <wp:inline distT="0" distB="0" distL="114300" distR="114300">
            <wp:extent cx="133350" cy="142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33350" cy="142875"/>
                    </a:xfrm>
                    <a:prstGeom prst="rect">
                      <a:avLst/>
                    </a:prstGeom>
                    <a:noFill/>
                    <a:ln w="9525">
                      <a:noFill/>
                    </a:ln>
                  </pic:spPr>
                </pic:pic>
              </a:graphicData>
            </a:graphic>
          </wp:inline>
        </w:drawing>
      </w:r>
      <w:r>
        <w:rPr>
          <w:rFonts w:hint="eastAsia" w:ascii="微软雅黑" w:hAnsi="微软雅黑" w:eastAsia="微软雅黑" w:cs="微软雅黑"/>
          <w:i w:val="0"/>
          <w:caps w:val="0"/>
          <w:spacing w:val="0"/>
          <w:kern w:val="0"/>
          <w:sz w:val="21"/>
          <w:szCs w:val="21"/>
          <w:u w:val="none"/>
          <w:shd w:val="clear" w:fill="FFFFFF"/>
          <w:lang w:val="en-US" w:eastAsia="zh-CN" w:bidi="ar"/>
        </w:rPr>
        <w:fldChar w:fldCharType="begin"/>
      </w:r>
      <w:r>
        <w:rPr>
          <w:rFonts w:hint="eastAsia" w:ascii="微软雅黑" w:hAnsi="微软雅黑" w:eastAsia="微软雅黑" w:cs="微软雅黑"/>
          <w:i w:val="0"/>
          <w:caps w:val="0"/>
          <w:spacing w:val="0"/>
          <w:kern w:val="0"/>
          <w:sz w:val="21"/>
          <w:szCs w:val="21"/>
          <w:u w:val="none"/>
          <w:shd w:val="clear" w:fill="FFFFFF"/>
          <w:lang w:val="en-US" w:eastAsia="zh-CN" w:bidi="ar"/>
        </w:rPr>
        <w:instrText xml:space="preserve"> HYPERLINK "http://www.jiathis.com/share" \t "http://www.yuanjiang.gov.cn/19170/21048/21051/_blank" </w:instrText>
      </w:r>
      <w:r>
        <w:rPr>
          <w:rFonts w:hint="eastAsia" w:ascii="微软雅黑" w:hAnsi="微软雅黑" w:eastAsia="微软雅黑" w:cs="微软雅黑"/>
          <w:i w:val="0"/>
          <w:caps w:val="0"/>
          <w:spacing w:val="0"/>
          <w:kern w:val="0"/>
          <w:sz w:val="21"/>
          <w:szCs w:val="21"/>
          <w:u w:val="none"/>
          <w:shd w:val="clear" w:fill="FFFFFF"/>
          <w:lang w:val="en-US" w:eastAsia="zh-CN" w:bidi="ar"/>
        </w:rPr>
        <w:fldChar w:fldCharType="separate"/>
      </w:r>
      <w:r>
        <w:rPr>
          <w:rFonts w:hint="eastAsia" w:ascii="微软雅黑" w:hAnsi="微软雅黑" w:eastAsia="微软雅黑" w:cs="微软雅黑"/>
          <w:i w:val="0"/>
          <w:caps w:val="0"/>
          <w:spacing w:val="0"/>
          <w:kern w:val="0"/>
          <w:sz w:val="21"/>
          <w:szCs w:val="21"/>
          <w:u w:val="none"/>
          <w:shd w:val="clear" w:fill="FFFFFF"/>
          <w:lang w:val="en-US" w:eastAsia="zh-CN" w:bidi="ar"/>
        </w:rPr>
        <w:fldChar w:fldCharType="end"/>
      </w:r>
    </w:p>
    <w:p>
      <w:pPr>
        <w:keepNext w:val="0"/>
        <w:keepLines w:val="0"/>
        <w:widowControl/>
        <w:suppressLineNumbers w:val="0"/>
        <w:shd w:val="clear" w:fill="FFFFFF"/>
        <w:spacing w:before="75" w:beforeAutospacing="0" w:after="120" w:afterAutospacing="0" w:line="285" w:lineRule="atLeast"/>
        <w:ind w:left="0" w:right="270" w:firstLine="0"/>
        <w:jc w:val="right"/>
        <w:rPr>
          <w:rFonts w:hint="eastAsia" w:ascii="微软雅黑" w:hAnsi="微软雅黑" w:eastAsia="微软雅黑" w:cs="微软雅黑"/>
          <w:i w:val="0"/>
          <w:caps w:val="0"/>
          <w:color w:val="252525"/>
          <w:spacing w:val="0"/>
          <w:sz w:val="21"/>
          <w:szCs w:val="21"/>
        </w:rPr>
      </w:pPr>
      <w:r>
        <w:rPr>
          <w:rFonts w:hint="eastAsia" w:ascii="微软雅黑" w:hAnsi="微软雅黑" w:eastAsia="微软雅黑" w:cs="微软雅黑"/>
          <w:i w:val="0"/>
          <w:caps w:val="0"/>
          <w:color w:val="252525"/>
          <w:spacing w:val="0"/>
          <w:kern w:val="0"/>
          <w:sz w:val="21"/>
          <w:szCs w:val="21"/>
          <w:shd w:val="clear" w:fill="FFFFFF"/>
          <w:lang w:val="en-US" w:eastAsia="zh-CN" w:bidi="ar"/>
        </w:rPr>
        <w:t>打印</w:t>
      </w:r>
    </w:p>
    <w:p>
      <w:pPr>
        <w:keepNext w:val="0"/>
        <w:keepLines w:val="0"/>
        <w:widowControl/>
        <w:suppressLineNumbers w:val="0"/>
        <w:pBdr>
          <w:top w:val="none" w:color="auto" w:sz="0" w:space="0"/>
          <w:left w:val="none" w:color="auto" w:sz="0" w:space="0"/>
          <w:bottom w:val="single" w:color="EEEEEE" w:sz="48" w:space="75"/>
          <w:right w:val="none" w:color="auto" w:sz="0" w:space="0"/>
        </w:pBdr>
        <w:shd w:val="clear" w:fill="FFFFFF"/>
        <w:ind w:left="0" w:firstLine="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目  录</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第一部分 沅江市国土资源局概况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一、机构设置</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二、主要职能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三、部门决算单位构成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第二部分 沅江市国土资源局2019 年度部门决算表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一、收入支出决算总表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二、收入决算表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三、支出决算表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四、财政拨款收入支出决算表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五、一般公共预算财政拨款支出决算表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六、一般公共预算财政拨款基本支出决算表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七、一般公共预算财政拨款“三公”经费支出决算表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八、政府性基金预算财政拨款收入支出决算表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第三部分 沅江市国土资源局2019年度部门决算情况说明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一、收入支出决算总体情况说明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二、收入决算情况说明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四、财政拨款收入支出决算总体情况说明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五、一般公共预算财政拨款收入支出决算情况说明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六、一般公共预算财政拨款基本支出决算情况说明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七、政府性基金预算财政拨款支出决算情况说明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八、一般公共预算财政拨款“三公”经费支出决算情况说明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九、预算绩效情况说明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十、其他重要事项情况说明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第四部分 名词解释</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第五部分 附件</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第一部分 沅江市国土资源局概况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一、机构设置</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沅江市国土资源局成立于1987年，其前身由当时的土地办和规划办合并而成，2004年更名为沅江市国土资源局，2019年更名为沅江市自然资源局，是沅江市人民政府管理全市国土资源工作的职能部门。我局内设17个股室，10个二级机构，15个乡镇国土所。</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二、主要职能</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1、保护和合理利用土地资源、矿产资源等自然资源。</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2、规范国土资源权属管理秩序。</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3、承担地质环境保护及地质灾害预防和治理责任。</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4、加强土地动态监测，地籍权属调查等测绘工作。</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6、承办不动产权属登记。</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7、确保规划确定的耕地保有量和基本农田保护面积不减少。</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8、及时准确提供沅江市土地利用各种数据。</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9、指导监督节约集约合理利用国土资源。</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10、建立公平公正、竞争有序、城乡统一国土资源市场。</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三、部门决算单位构成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从决算单位构成来看，沅江市国土资源局部门决算包括局机关本级决算，下属单位沅江市地籍测量决算、沅江市地</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产交易中心决算、沅江市征地拆迁事务所决算。单位见下表：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序号 单位名称</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1 沅江市自然资源局</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 沅江市地籍测量</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3 沅江市地产交易中心</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4 沅江市征地拆迁事务所</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第二部分</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沅江市国土资源局2019年度部门决算表（详见附件）</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表1：收入支出决算总表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表2：收入决算表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表3：支出决算表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表4：财政拨款收入支出决算总表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表5：一般公共预算财政拨款支出决算表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表6：一般公共预算财政拨款基本支出决算表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表7：一般公共预算财政拨款“三公”经费支出决算表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表8：政府性基金预算财政拨款收入支出决算表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第三部分</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     沅江市国土资源局2019年度部门决算情况说明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一、收入支出决算总体情况说明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收入、支出总计均为5483.53万元(根据财政预算管理制度要求，2018年度沅江市国土资源局及其所属二级机构均为一级预算单位，部门决算报表分别单独公开，所以未对2018年度相关数据汇总，2019年度沅江市国土资源局部门决算说明未提供与去年增减数)。</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二、收入决算情况说明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2019年度收入合计4236.95万元，其中：财政拨款收入4177.38万元，占本年度总收入98.59%，其他收入59.57万元，占本年度总收入1.41%。</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本年度支出合计4311.67万元，其中：基本支出2184.96万元，占本年总支出50.68%。项目支出2126.70万元，占本年总支出49.32%。</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四、财政拨款收入支出决算总体情况说明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2019年度财政拨款收入、支出总计均为4569.89万元。</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五、一般公共预算财政拨款收入支出决算情况说明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（一）一般公共预算财政拨款收入支出决算总体情况。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2019年度一般公共预算财政拨款收入2975.00万元，一般公共预算财政拨款支出2810.15万元，其中基本支出1625.95万元，项目支出1184.20万元。</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（二）一般公共预算财政拨款支出决算构成情况。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般公共预算拨款支出2810.15万元，主要用于以下方面：一般公共服务支出67.30万元，占2.39%。社会保障和就业支出21.09万元，占0.76%。自然资源海洋气象支出等支出2703.72万元，占96.21%。节能环保支出和住房保障支出18.04万元，占0.64%。</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（三）一般公共预算财政拨款支出决算具体情况说明。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2019年度一般公共预算财政拨款支出为2810.15万元，按经济分类：</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1、工资福利支出1222.83万元，主要用于按国家规定支出的基本工资、津贴补贴、奖金、养老保险、职工医疗保险、职业年金、住房公积金支出。</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2、商品和服务支出1522.51万元，主要用于办公费、水电费、差旅费、工会经费、委托业务费支出。</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3、对个人和家庭的补助支出28.41万元，主要用于抚恤金、遗属补贴支出。</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4、资本性支出36.40万元，用于办公设备、专用设备购置。</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六、一般公共预算财政拨款基本支出决算情况说明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2019年度一般公共预算财政拨款基本支出1625.95万元。其中:</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人员经费1251.25万元，主要包括：按国家规定支出的基本工资、津贴补贴、奖金、伙食补助费、机关事业单位基本养老保险缴费、其他社会保障缴费、职业年金、抚恤金、生活补助、医疗费、住房公积金、其他对个人和家庭的补助支出；</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公用经费374.70万元，主要包括：办公费、印刷费、咨询费、手续费、水费、电费、邮电费、物业管理费、差旅费、维修（护）费、租赁费、会议费、培训费、公务接待费、劳务费、委托业务费、工会经费、福利费、其他商品和服务支出、办公设备及专用设备购置费。</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七、政府性基金预算财政拨款支出决算情况说明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（一）政府性基金预算财政拨款收入支出决算总体情况。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 年度政府性基金预算财政拨款收入总计1202.38万元，比上年同期减少551.62万元，下降31.45%；政府性基金预算财政拨款支出总计1202.38万元，比上年同期减少951.29万元，下降44.17%。主要原因：一般公共预算财政拨款收入增加，政府性基金预算财政拨款收入减少。</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（二）政府性基金预算财政拨款支出决算构成情况。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2019年度政府性基金预算财政拨款支出1202.38万元，其中城乡社区支出402.38万元，占33.46%，其他支出800.00万元，占66.54%。</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（三）政府性基金预算财政拨款支出决算具体情况。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2019年度政府性基金预算财政拨款支出1202.38万元，其中基本支出402.38万元，项目支出800.00万元。</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按经济分类：工资福利支出402.38万元，用于支付基本工资和津贴补贴；商品服务支出766.39万元，主要用于付办公费、印刷费、差旅费、咨询费、委托业务费及其他商品服务支出；资本性支出33.61万元，用于办公设备购置。</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八、一般公共预算财政拨款“三公”经费支出决算情况说明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（一）“三公”经费财政拨款支出决算总体情况说明。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三公”经费财政拨款支出预算数为9.60万元，支出决算数为9.33万元,完成预算的97.18%，决算数小于预算数的主要原因是认真贯彻落实中央“八项规定”精神和厉行节约要求，从严控制“三公”经费开支，全年实际支出比预算有所节约。</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（二）“三公”经费财政拨款支出决算具体情况说明。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2019年度“三公”经费财政拨款支出决算中，具体情况如下：公务接待费决算数为9.33万元，占100%。公务接待90批次，接待1426人。</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九、关于2019年度预算绩效情况说明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（一）绩效管理工作开展情况。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根据上级要求，2019年度，我局进一步提高预算绩效管理认识，强化以“绩效为中心、对支出结果负责、对社会公众负责”的理念，在绩效目标编制方面，针对绩效目标设置指向不清、预算和目标匹配不足，数量目标和质量目标量化不细，效益目标编制不完整等方面加以了改善。加强预算绩效动态监控管理，及时跟踪项目进度，对项目实施中存在的具体问题采取纠偏措施。加强相关专业技术人员的业务培训，进一步提高预算绩效评价质量。</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（二）部门决算中项目绩效自评结果。</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总的来说，我局财务管理较为严格，建立了《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（三）以部门为主体开展的重点绩效评价结果。</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2019年度我局全体干部职工积极履职、扎实工作，较好完成了全年工作目标，并收到良好的经济效益和社会效益。</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2019年我局有专项项目23个，财政按预算拨付项目资金547.61万元，按实际用于数字沅江地理信息基础工程建设项目、2019年耕地质量等级调查评价和监测工作、乡镇国土执法检查、土地执法巡查等项目开支。在专项资金的使用上，我局严格遵守相关项目资金管理和使用要求,不挪用专项资金，不改变其用途。其中以数字沅江地理信息基础工程建设项目为例：该项目资金财政拨款80.00万元，其余142.01万元单位自筹，全程严格按照政府采购程序进行操作，项目资金专款专用，并达到了预期目的。</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十、其他重要事项情况说明</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（一）机关运行经费支出情况。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本部门2019年机关运行经费支出270.67万元。比2018年增加158.13万元。主要原因是：机构改革调整，专项任务增加，运行经费增加。</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（二）国有资产占有情况。</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截至2019年12月31日止，本部门无车辆,年末无单价50万元以上通用设备,年末无单价100万元以上通用设备。</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第四部分 名词解释</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一、财政拨款收入：指本级财政当年拨付的资金。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二、其他收入：指除上述“财政拨款收入”、“事业收入” 、“经营收入”等以外的收入。</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三、年初结转和结余：指以前年度尚未完成、结转到本年按有关规定继续使用的资金。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四、年末结转和结余：指本年度或以前年度预算安排、因客观条件发生变化无法按原计划实施，需要延迟到以后年度按有关规定继续使用的资金。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五、基本支出：指为保障机构正常运转、完成日常工</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作任务而发生的人员支出和公用支出。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六、项目支出：指在基本支出之外为完成特定行政任务和事业发展目标所发生的支出。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七、“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八、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第五部分 附件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7B6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2020-09-09T21:31:56Z</dcterms:created>
  <dc:creator>Administrator</dc:creator>
  <cp:lastModifiedBy>文虚空圣</cp:lastModifiedBy>
  <dcterms:modified xsi:type="dcterms:W3CDTF">2020-09-09T21:32:17Z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