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center"/>
        <w:rPr>
          <w:rFonts w:hint="eastAsia" w:ascii="方正小标宋简体" w:hAnsi="宋体" w:eastAsia="方正小标宋简体" w:cs="宋体"/>
          <w:b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b/>
          <w:color w:val="000000"/>
          <w:kern w:val="0"/>
          <w:sz w:val="44"/>
          <w:szCs w:val="44"/>
        </w:rPr>
        <w:t>2020年度沅江市劳动监察局</w:t>
      </w:r>
    </w:p>
    <w:p>
      <w:pPr>
        <w:widowControl/>
        <w:shd w:val="clear" w:color="auto" w:fill="FFFFFF"/>
        <w:spacing w:line="600" w:lineRule="exact"/>
        <w:jc w:val="center"/>
        <w:rPr>
          <w:rFonts w:hint="eastAsia" w:ascii="方正小标宋简体" w:hAnsi="宋体" w:eastAsia="方正小标宋简体"/>
          <w:b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b/>
          <w:color w:val="000000"/>
          <w:kern w:val="0"/>
          <w:sz w:val="44"/>
          <w:szCs w:val="44"/>
        </w:rPr>
        <w:t>预算绩效</w:t>
      </w:r>
      <w:r>
        <w:rPr>
          <w:rFonts w:hint="eastAsia" w:ascii="方正小标宋简体" w:hAnsi="宋体" w:eastAsia="方正小标宋简体" w:cs="宋体"/>
          <w:b/>
          <w:color w:val="000000"/>
          <w:kern w:val="0"/>
          <w:sz w:val="44"/>
          <w:szCs w:val="44"/>
        </w:rPr>
        <w:t>评价</w:t>
      </w:r>
      <w:r>
        <w:rPr>
          <w:rFonts w:hint="eastAsia" w:ascii="方正小标宋简体" w:hAnsi="宋体" w:eastAsia="方正小标宋简体"/>
          <w:b/>
          <w:color w:val="000000"/>
          <w:kern w:val="0"/>
          <w:sz w:val="44"/>
          <w:szCs w:val="44"/>
        </w:rPr>
        <w:t>报告</w:t>
      </w:r>
    </w:p>
    <w:p>
      <w:pPr>
        <w:widowControl/>
        <w:shd w:val="clear" w:color="auto" w:fill="FFFFFF"/>
        <w:spacing w:line="600" w:lineRule="exact"/>
        <w:jc w:val="center"/>
        <w:rPr>
          <w:rFonts w:hint="eastAsia" w:ascii="宋体" w:hAnsi="宋体" w:cs="宋体"/>
          <w:b/>
          <w:color w:val="000000"/>
          <w:kern w:val="0"/>
          <w:sz w:val="44"/>
          <w:szCs w:val="44"/>
        </w:rPr>
      </w:pPr>
    </w:p>
    <w:p>
      <w:pPr>
        <w:spacing w:line="600" w:lineRule="exact"/>
        <w:ind w:firstLine="627" w:firstLineChars="196"/>
        <w:rPr>
          <w:rFonts w:hint="eastAsia" w:ascii="方正仿宋简体" w:hAnsi="宋体" w:eastAsia="方正仿宋简体"/>
          <w:color w:val="000000"/>
          <w:spacing w:val="6"/>
          <w:kern w:val="0"/>
          <w:sz w:val="28"/>
          <w:szCs w:val="28"/>
        </w:rPr>
      </w:pPr>
      <w:r>
        <w:rPr>
          <w:rFonts w:ascii="宋体" w:hAnsi="宋体"/>
          <w:color w:val="000000"/>
          <w:kern w:val="0"/>
          <w:sz w:val="32"/>
        </w:rPr>
        <w:t> </w:t>
      </w:r>
      <w:r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  <w:t>为进一步贯彻《预算法》讲究绩效原则，加强预算绩效管理，</w:t>
      </w:r>
      <w:r>
        <w:rPr>
          <w:rFonts w:hint="eastAsia" w:ascii="方正仿宋简体" w:hAnsi="宋体" w:eastAsia="方正仿宋简体"/>
          <w:color w:val="000000"/>
          <w:spacing w:val="10"/>
          <w:kern w:val="0"/>
          <w:sz w:val="28"/>
          <w:szCs w:val="28"/>
        </w:rPr>
        <w:t>我单位</w:t>
      </w:r>
      <w:r>
        <w:rPr>
          <w:rFonts w:hint="eastAsia" w:ascii="方正仿宋简体" w:hAnsi="宋体" w:eastAsia="方正仿宋简体"/>
          <w:color w:val="000000"/>
          <w:spacing w:val="13"/>
          <w:kern w:val="0"/>
          <w:sz w:val="28"/>
          <w:szCs w:val="28"/>
        </w:rPr>
        <w:t>2020</w:t>
      </w:r>
      <w:r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  <w:t>年度预算资金绩效评价如下：</w:t>
      </w:r>
    </w:p>
    <w:p>
      <w:pPr>
        <w:widowControl/>
        <w:shd w:val="clear" w:color="auto" w:fill="FFFFFF"/>
        <w:spacing w:line="600" w:lineRule="exact"/>
        <w:ind w:firstLine="640"/>
        <w:jc w:val="left"/>
        <w:rPr>
          <w:rFonts w:hint="eastAsia" w:ascii="黑体" w:hAnsi="黑体" w:eastAsia="黑体" w:cs="宋体"/>
          <w:b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/>
          <w:b/>
          <w:color w:val="000000"/>
          <w:kern w:val="0"/>
          <w:sz w:val="28"/>
          <w:szCs w:val="28"/>
        </w:rPr>
        <w:t>一、单位</w:t>
      </w:r>
      <w:r>
        <w:rPr>
          <w:rFonts w:hint="eastAsia" w:ascii="黑体" w:hAnsi="黑体" w:eastAsia="黑体" w:cs="宋体"/>
          <w:b/>
          <w:color w:val="000000"/>
          <w:kern w:val="0"/>
          <w:sz w:val="28"/>
          <w:szCs w:val="28"/>
        </w:rPr>
        <w:t>基本情况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楷体简体" w:hAnsi="宋体" w:eastAsia="方正楷体简体" w:cs="宋体"/>
          <w:color w:val="000000"/>
          <w:kern w:val="0"/>
          <w:sz w:val="28"/>
          <w:szCs w:val="28"/>
        </w:rPr>
      </w:pPr>
      <w:r>
        <w:rPr>
          <w:rFonts w:hint="eastAsia" w:ascii="方正楷体简体" w:hAnsi="宋体" w:eastAsia="方正楷体简体" w:cs="宋体"/>
          <w:color w:val="000000"/>
          <w:kern w:val="0"/>
          <w:sz w:val="28"/>
          <w:szCs w:val="28"/>
        </w:rPr>
        <w:t>1、机构设置情况</w:t>
      </w:r>
    </w:p>
    <w:p>
      <w:pPr>
        <w:spacing w:line="600" w:lineRule="exact"/>
        <w:ind w:firstLine="560" w:firstLineChars="200"/>
        <w:jc w:val="left"/>
        <w:rPr>
          <w:rFonts w:hint="eastAsia" w:ascii="方正仿宋简体" w:hAnsi="宋体" w:eastAsia="方正仿宋简体" w:cs="宋体"/>
          <w:color w:val="000000"/>
          <w:sz w:val="28"/>
          <w:szCs w:val="28"/>
        </w:rPr>
      </w:pPr>
      <w:r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  <w:t>沅江市劳动监察局为人社局独立核算的二级机构。</w:t>
      </w:r>
    </w:p>
    <w:p>
      <w:pPr>
        <w:widowControl/>
        <w:shd w:val="clear" w:color="auto" w:fill="FFFFFF"/>
        <w:spacing w:line="600" w:lineRule="exact"/>
        <w:ind w:firstLine="560" w:firstLineChars="200"/>
        <w:rPr>
          <w:rFonts w:hint="eastAsia" w:ascii="方正楷体简体" w:hAnsi="宋体" w:eastAsia="方正楷体简体" w:cs="宋体"/>
          <w:color w:val="000000"/>
          <w:kern w:val="0"/>
          <w:sz w:val="28"/>
          <w:szCs w:val="28"/>
        </w:rPr>
      </w:pPr>
      <w:r>
        <w:rPr>
          <w:rFonts w:hint="eastAsia" w:ascii="方正楷体简体" w:hAnsi="宋体" w:eastAsia="方正楷体简体" w:cs="宋体"/>
          <w:color w:val="000000"/>
          <w:kern w:val="0"/>
          <w:sz w:val="28"/>
          <w:szCs w:val="28"/>
        </w:rPr>
        <w:t>2、人员情况</w:t>
      </w:r>
    </w:p>
    <w:p>
      <w:pPr>
        <w:spacing w:line="600" w:lineRule="exact"/>
        <w:jc w:val="left"/>
        <w:rPr>
          <w:rFonts w:hint="eastAsia" w:ascii="方正仿宋简体" w:hAnsi="宋体" w:eastAsia="方正仿宋简体" w:cs="宋体"/>
          <w:color w:val="000000"/>
          <w:spacing w:val="13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  <w:t xml:space="preserve">    沅江市劳动监察局</w:t>
      </w:r>
      <w:r>
        <w:rPr>
          <w:rFonts w:hint="eastAsia" w:ascii="方正仿宋简体" w:hAnsi="宋体" w:eastAsia="方正仿宋简体"/>
          <w:color w:val="000000"/>
          <w:spacing w:val="13"/>
          <w:kern w:val="0"/>
          <w:sz w:val="28"/>
          <w:szCs w:val="28"/>
        </w:rPr>
        <w:t>实有在职人员8人，其中：公务员及参公人员4人、非公务员1人，退役博士兵2人，临聘人员1人，</w:t>
      </w:r>
      <w:r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  <w:t>核定编制8名。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楷体简体" w:hAnsi="宋体" w:eastAsia="方正楷体简体" w:cs="宋体"/>
          <w:color w:val="000000"/>
          <w:kern w:val="0"/>
          <w:sz w:val="28"/>
          <w:szCs w:val="28"/>
        </w:rPr>
      </w:pPr>
      <w:r>
        <w:rPr>
          <w:rFonts w:hint="eastAsia" w:ascii="方正楷体简体" w:hAnsi="宋体" w:eastAsia="方正楷体简体" w:cs="宋体"/>
          <w:color w:val="000000"/>
          <w:kern w:val="0"/>
          <w:sz w:val="28"/>
          <w:szCs w:val="28"/>
        </w:rPr>
        <w:t>3、主要工作职责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sz w:val="28"/>
          <w:szCs w:val="28"/>
        </w:rPr>
      </w:pPr>
      <w:r>
        <w:rPr>
          <w:rStyle w:val="9"/>
          <w:rFonts w:hint="eastAsia" w:ascii="方正仿宋简体" w:hAnsi="宋体" w:eastAsia="方正仿宋简体"/>
          <w:szCs w:val="28"/>
        </w:rPr>
        <w:t>负责依法行使人力资源和社会保障检查权；负责受理全市用人单位遵守劳动保障法律、法规情况；负责协调劳动保障跨市域执法和重大案件查处工作，维护农民工合法权益。</w:t>
      </w:r>
    </w:p>
    <w:p>
      <w:pPr>
        <w:widowControl/>
        <w:shd w:val="clear" w:color="auto" w:fill="FFFFFF"/>
        <w:spacing w:line="600" w:lineRule="exact"/>
        <w:ind w:firstLine="562" w:firstLineChars="200"/>
        <w:jc w:val="left"/>
        <w:rPr>
          <w:rFonts w:hint="eastAsia" w:ascii="黑体" w:hAnsi="黑体" w:eastAsia="黑体"/>
          <w:b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/>
          <w:b/>
          <w:color w:val="000000"/>
          <w:kern w:val="0"/>
          <w:sz w:val="28"/>
          <w:szCs w:val="28"/>
        </w:rPr>
        <w:t>二、部门整体支出管理及使用情况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楷体简体" w:hAnsi="宋体" w:eastAsia="方正楷体简体"/>
          <w:color w:val="000000"/>
          <w:kern w:val="0"/>
          <w:sz w:val="28"/>
          <w:szCs w:val="28"/>
        </w:rPr>
      </w:pPr>
      <w:r>
        <w:rPr>
          <w:rFonts w:hint="eastAsia" w:ascii="方正楷体简体" w:hAnsi="宋体" w:eastAsia="方正楷体简体"/>
          <w:color w:val="000000"/>
          <w:kern w:val="0"/>
          <w:sz w:val="28"/>
          <w:szCs w:val="28"/>
        </w:rPr>
        <w:t>（一）基本支出的管理和使用情况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b/>
          <w:color w:val="000000"/>
          <w:kern w:val="0"/>
          <w:sz w:val="28"/>
          <w:szCs w:val="28"/>
        </w:rPr>
        <w:t>1、基本支出的主要用途及资金管理情况：</w:t>
      </w:r>
      <w:r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  <w:t>2020年度基本支出规模为61.5万元，主要体现在如下内容：其中工作福利支出54万元，对个人和家庭的补助0.8万元，商品和服务支出6.7万元，。</w:t>
      </w:r>
    </w:p>
    <w:p>
      <w:pPr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b/>
          <w:color w:val="000000"/>
          <w:kern w:val="0"/>
          <w:sz w:val="28"/>
          <w:szCs w:val="28"/>
        </w:rPr>
        <w:t>2、年初总预算收支情况：</w:t>
      </w:r>
      <w:r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  <w:t>2020 年度收入总计145.2万元，其中财政拨款收入145.2万。2020 年度支出总计141.8万元。其中工资福利支出56.8万元，对个人和家庭补助支出2万元，商品服务支出69万元，资本性支出14万元。业务类工作专项支出80.3万元。业务类工作专项主要用于：监察综合执法22万元，“两网化”联运管理建设专项11.8万元，农民工工资清账工作10万元，执法着装专项9.6万元，执法大厅建设24.9万元，监察法规宣传2万元。</w:t>
      </w:r>
    </w:p>
    <w:p>
      <w:pPr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</w:p>
    <w:p>
      <w:pPr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/>
          <w:b/>
          <w:color w:val="000000"/>
          <w:kern w:val="0"/>
          <w:sz w:val="28"/>
          <w:szCs w:val="28"/>
        </w:rPr>
        <w:t>3、本年财政拨款预算追加情况</w:t>
      </w:r>
      <w:r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  <w:t>（单位：万元）</w:t>
      </w:r>
    </w:p>
    <w:tbl>
      <w:tblPr>
        <w:tblStyle w:val="5"/>
        <w:tblpPr w:leftFromText="180" w:rightFromText="180" w:vertAnchor="text" w:horzAnchor="margin" w:tblpY="158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1416"/>
        <w:gridCol w:w="1418"/>
        <w:gridCol w:w="1296"/>
        <w:gridCol w:w="2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2175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收入</w:t>
            </w:r>
          </w:p>
        </w:tc>
        <w:tc>
          <w:tcPr>
            <w:tcW w:w="1416" w:type="dxa"/>
            <w:vAlign w:val="bottom"/>
          </w:tcPr>
          <w:p>
            <w:pPr>
              <w:spacing w:line="600" w:lineRule="exact"/>
              <w:ind w:left="240" w:hanging="240" w:hangingChars="100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2020年初预算</w:t>
            </w:r>
          </w:p>
        </w:tc>
        <w:tc>
          <w:tcPr>
            <w:tcW w:w="1418" w:type="dxa"/>
            <w:vAlign w:val="bottom"/>
          </w:tcPr>
          <w:p>
            <w:pPr>
              <w:spacing w:line="600" w:lineRule="exact"/>
              <w:ind w:left="120" w:hanging="120" w:hangingChars="50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2020实际拨付收入</w:t>
            </w:r>
          </w:p>
        </w:tc>
        <w:tc>
          <w:tcPr>
            <w:tcW w:w="129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变动情况</w:t>
            </w:r>
          </w:p>
        </w:tc>
        <w:tc>
          <w:tcPr>
            <w:tcW w:w="2263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2175" w:type="dxa"/>
            <w:vAlign w:val="center"/>
          </w:tcPr>
          <w:p>
            <w:pPr>
              <w:spacing w:line="600" w:lineRule="exact"/>
              <w:ind w:left="600" w:hanging="600" w:hangingChars="250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一般公共预算财政拨款收入</w:t>
            </w:r>
          </w:p>
        </w:tc>
        <w:tc>
          <w:tcPr>
            <w:tcW w:w="1416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87.7</w:t>
            </w:r>
          </w:p>
        </w:tc>
        <w:tc>
          <w:tcPr>
            <w:tcW w:w="1418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145.2</w:t>
            </w:r>
          </w:p>
        </w:tc>
        <w:tc>
          <w:tcPr>
            <w:tcW w:w="1296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57.5</w:t>
            </w:r>
          </w:p>
        </w:tc>
        <w:tc>
          <w:tcPr>
            <w:tcW w:w="2263" w:type="dxa"/>
            <w:vAlign w:val="center"/>
          </w:tcPr>
          <w:p>
            <w:pPr>
              <w:spacing w:line="600" w:lineRule="exact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执法着装9.6万元、执法大厅建设24.9万元、“两网化”建设19.9万元、车补等3万元。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2175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合计</w:t>
            </w:r>
          </w:p>
        </w:tc>
        <w:tc>
          <w:tcPr>
            <w:tcW w:w="1416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87.7</w:t>
            </w:r>
          </w:p>
        </w:tc>
        <w:tc>
          <w:tcPr>
            <w:tcW w:w="1418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145.2</w:t>
            </w:r>
          </w:p>
        </w:tc>
        <w:tc>
          <w:tcPr>
            <w:tcW w:w="1296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57.5</w:t>
            </w:r>
          </w:p>
        </w:tc>
        <w:tc>
          <w:tcPr>
            <w:tcW w:w="2263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</w:tr>
    </w:tbl>
    <w:p>
      <w:pPr>
        <w:spacing w:line="600" w:lineRule="exact"/>
        <w:ind w:firstLine="1120" w:firstLineChars="400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</w:p>
    <w:p>
      <w:pPr>
        <w:spacing w:line="600" w:lineRule="exact"/>
        <w:ind w:firstLine="1121" w:firstLineChars="400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/>
          <w:b/>
          <w:color w:val="000000"/>
          <w:kern w:val="0"/>
          <w:sz w:val="28"/>
          <w:szCs w:val="28"/>
        </w:rPr>
        <w:t>可用财政拨款预算指标情况</w:t>
      </w:r>
      <w:r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  <w:t>（单位：万元）</w:t>
      </w:r>
    </w:p>
    <w:tbl>
      <w:tblPr>
        <w:tblStyle w:val="5"/>
        <w:tblpPr w:leftFromText="180" w:rightFromText="180" w:vertAnchor="text" w:horzAnchor="margin" w:tblpXSpec="center" w:tblpY="314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2520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334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2020年拨款预算指标</w:t>
            </w:r>
          </w:p>
        </w:tc>
        <w:tc>
          <w:tcPr>
            <w:tcW w:w="2520" w:type="dxa"/>
            <w:vAlign w:val="center"/>
          </w:tcPr>
          <w:p>
            <w:pPr>
              <w:spacing w:line="600" w:lineRule="exact"/>
              <w:ind w:left="240" w:hanging="240" w:hangingChars="10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2020使用拨款预算指标</w:t>
            </w:r>
          </w:p>
        </w:tc>
        <w:tc>
          <w:tcPr>
            <w:tcW w:w="2700" w:type="dxa"/>
            <w:vAlign w:val="center"/>
          </w:tcPr>
          <w:p>
            <w:pPr>
              <w:spacing w:line="600" w:lineRule="exact"/>
              <w:ind w:left="120" w:hanging="120" w:hangingChars="5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2020结余预算指标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3348" w:type="dxa"/>
            <w:vAlign w:val="center"/>
          </w:tcPr>
          <w:p>
            <w:pPr>
              <w:spacing w:line="600" w:lineRule="exact"/>
              <w:ind w:left="600" w:hanging="600" w:hangingChars="25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145.2</w:t>
            </w:r>
          </w:p>
        </w:tc>
        <w:tc>
          <w:tcPr>
            <w:tcW w:w="2520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137.2</w:t>
            </w:r>
          </w:p>
        </w:tc>
        <w:tc>
          <w:tcPr>
            <w:tcW w:w="2700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</w:t>
            </w:r>
          </w:p>
        </w:tc>
      </w:tr>
    </w:tbl>
    <w:p>
      <w:pPr>
        <w:spacing w:line="600" w:lineRule="exact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</w:p>
    <w:p>
      <w:pPr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b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/>
          <w:b/>
          <w:color w:val="000000"/>
          <w:kern w:val="0"/>
          <w:sz w:val="28"/>
          <w:szCs w:val="28"/>
        </w:rPr>
        <w:t>4、年度预算收入决算情况</w:t>
      </w:r>
    </w:p>
    <w:tbl>
      <w:tblPr>
        <w:tblStyle w:val="5"/>
        <w:tblpPr w:leftFromText="180" w:rightFromText="180" w:vertAnchor="text" w:horzAnchor="margin" w:tblpY="314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2"/>
        <w:gridCol w:w="1696"/>
        <w:gridCol w:w="1440"/>
        <w:gridCol w:w="1260"/>
        <w:gridCol w:w="2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832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收入</w:t>
            </w:r>
          </w:p>
        </w:tc>
        <w:tc>
          <w:tcPr>
            <w:tcW w:w="1696" w:type="dxa"/>
            <w:vAlign w:val="center"/>
          </w:tcPr>
          <w:p>
            <w:pPr>
              <w:spacing w:line="600" w:lineRule="exact"/>
              <w:ind w:left="240" w:hanging="240" w:hangingChars="10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2020年初预算</w:t>
            </w:r>
          </w:p>
        </w:tc>
        <w:tc>
          <w:tcPr>
            <w:tcW w:w="1440" w:type="dxa"/>
            <w:vAlign w:val="center"/>
          </w:tcPr>
          <w:p>
            <w:pPr>
              <w:spacing w:line="600" w:lineRule="exact"/>
              <w:ind w:left="120" w:hanging="120" w:hangingChars="5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2020决算</w:t>
            </w:r>
          </w:p>
        </w:tc>
        <w:tc>
          <w:tcPr>
            <w:tcW w:w="126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变动情况</w:t>
            </w:r>
          </w:p>
        </w:tc>
        <w:tc>
          <w:tcPr>
            <w:tcW w:w="2350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832" w:type="dxa"/>
            <w:vAlign w:val="center"/>
          </w:tcPr>
          <w:p>
            <w:pPr>
              <w:spacing w:line="600" w:lineRule="exact"/>
              <w:ind w:left="600" w:hanging="600" w:hangingChars="250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一般公共预算财政拨款收入</w:t>
            </w:r>
          </w:p>
        </w:tc>
        <w:tc>
          <w:tcPr>
            <w:tcW w:w="1696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87.7</w:t>
            </w:r>
          </w:p>
        </w:tc>
        <w:tc>
          <w:tcPr>
            <w:tcW w:w="1440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145.2</w:t>
            </w:r>
          </w:p>
        </w:tc>
        <w:tc>
          <w:tcPr>
            <w:tcW w:w="1260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57.5</w:t>
            </w:r>
          </w:p>
        </w:tc>
        <w:tc>
          <w:tcPr>
            <w:tcW w:w="23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执法着装9.6万元、执法大厅建设24.9万元、“两网化”建设19.8万元、车补2.5万元等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832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合计</w:t>
            </w:r>
          </w:p>
        </w:tc>
        <w:tc>
          <w:tcPr>
            <w:tcW w:w="1696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87.7</w:t>
            </w:r>
          </w:p>
        </w:tc>
        <w:tc>
          <w:tcPr>
            <w:tcW w:w="1440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145.2</w:t>
            </w:r>
          </w:p>
        </w:tc>
        <w:tc>
          <w:tcPr>
            <w:tcW w:w="1260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57.5</w:t>
            </w:r>
          </w:p>
        </w:tc>
        <w:tc>
          <w:tcPr>
            <w:tcW w:w="2350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</w:tr>
    </w:tbl>
    <w:p>
      <w:pPr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</w:p>
    <w:p>
      <w:pPr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b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/>
          <w:b/>
          <w:color w:val="000000"/>
          <w:kern w:val="0"/>
          <w:sz w:val="28"/>
          <w:szCs w:val="28"/>
        </w:rPr>
        <w:t>5、年度预算支出决算及结余情况</w:t>
      </w:r>
    </w:p>
    <w:tbl>
      <w:tblPr>
        <w:tblStyle w:val="5"/>
        <w:tblW w:w="85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8"/>
        <w:gridCol w:w="2858"/>
        <w:gridCol w:w="2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85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支出</w:t>
            </w:r>
          </w:p>
        </w:tc>
        <w:tc>
          <w:tcPr>
            <w:tcW w:w="285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2020年决算</w:t>
            </w:r>
          </w:p>
        </w:tc>
        <w:tc>
          <w:tcPr>
            <w:tcW w:w="285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2020年结余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85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一般公共预算财政拨款支出</w:t>
            </w:r>
          </w:p>
        </w:tc>
        <w:tc>
          <w:tcPr>
            <w:tcW w:w="285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137.2</w:t>
            </w:r>
          </w:p>
        </w:tc>
        <w:tc>
          <w:tcPr>
            <w:tcW w:w="285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85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合计</w:t>
            </w:r>
          </w:p>
        </w:tc>
        <w:tc>
          <w:tcPr>
            <w:tcW w:w="285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137.2</w:t>
            </w:r>
          </w:p>
        </w:tc>
        <w:tc>
          <w:tcPr>
            <w:tcW w:w="285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</w:t>
            </w:r>
          </w:p>
        </w:tc>
      </w:tr>
    </w:tbl>
    <w:p>
      <w:pPr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b/>
          <w:sz w:val="28"/>
          <w:szCs w:val="28"/>
        </w:rPr>
      </w:pPr>
      <w:r>
        <w:rPr>
          <w:rFonts w:hint="eastAsia" w:ascii="方正仿宋简体" w:hAnsi="宋体" w:eastAsia="方正仿宋简体"/>
          <w:b/>
          <w:sz w:val="28"/>
          <w:szCs w:val="28"/>
        </w:rPr>
        <w:t>6、本年“三公经费”预算情况</w:t>
      </w:r>
    </w:p>
    <w:p>
      <w:pPr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sz w:val="28"/>
          <w:szCs w:val="28"/>
        </w:rPr>
      </w:pPr>
      <w:r>
        <w:rPr>
          <w:rFonts w:hint="eastAsia" w:ascii="方正仿宋简体" w:hAnsi="宋体" w:eastAsia="方正仿宋简体"/>
          <w:sz w:val="28"/>
          <w:szCs w:val="28"/>
        </w:rPr>
        <w:t>2020年“三公”经费预算为0.5万元，其中：公务接待费0.5万元；公务用车费0万元，其中公务用车购置费0万元（共购买公务用车0台），公务用车运行维护费0万元（公务用车保有量0台）；因公出国(境)费0万元（因公出国境团组数0个，0人次）。</w:t>
      </w:r>
    </w:p>
    <w:p>
      <w:pPr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sz w:val="28"/>
          <w:szCs w:val="28"/>
        </w:rPr>
      </w:pPr>
      <w:r>
        <w:rPr>
          <w:rFonts w:hint="eastAsia" w:ascii="方正仿宋简体" w:hAnsi="宋体" w:eastAsia="方正仿宋简体"/>
          <w:b/>
          <w:sz w:val="28"/>
          <w:szCs w:val="28"/>
        </w:rPr>
        <w:t>7、“三公经费”预算执行情况。</w:t>
      </w:r>
      <w:r>
        <w:rPr>
          <w:rFonts w:hint="eastAsia" w:ascii="方正仿宋简体" w:hAnsi="宋体" w:eastAsia="方正仿宋简体"/>
          <w:sz w:val="28"/>
          <w:szCs w:val="28"/>
        </w:rPr>
        <w:t>2020年“三公”经费使用3.5万元（其中：基本支出公务接待费0.2万元，项目支出招商引资公务接待费3.3万元）；公务用车费0万元，其中公务用车购置费0万元（共购买公务用车0台），公务用车运行维护费0万元（公务用车保有量0台）；因公出国(境)费0万元（因公出国境团组数0个，0人次）。预算执行超标原因为2020年预算时未将招商引资任务下达我局，我局未将招商引资工作列入2020年度预算内容。我单位进一步贯彻落实</w:t>
      </w:r>
      <w:r>
        <w:rPr>
          <w:rFonts w:hint="eastAsia" w:ascii="方正仿宋简体" w:hAnsi="宋体" w:eastAsia="方正仿宋简体"/>
          <w:sz w:val="28"/>
          <w:szCs w:val="28"/>
          <w:lang w:eastAsia="zh-CN"/>
        </w:rPr>
        <w:t>中央八项规定</w:t>
      </w:r>
      <w:r>
        <w:rPr>
          <w:rFonts w:hint="eastAsia" w:ascii="方正仿宋简体" w:hAnsi="宋体" w:eastAsia="方正仿宋简体"/>
          <w:sz w:val="28"/>
          <w:szCs w:val="28"/>
        </w:rPr>
        <w:t>，坚持勤俭节约，反对铺张浪费，按照市委、市政府厉行节约的相关要求，严格控制了“三公”经费支出。</w:t>
      </w:r>
    </w:p>
    <w:p>
      <w:pPr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sz w:val="28"/>
          <w:szCs w:val="28"/>
        </w:rPr>
      </w:pPr>
      <w:r>
        <w:rPr>
          <w:rFonts w:hint="eastAsia" w:ascii="方正仿宋简体" w:hAnsi="宋体" w:eastAsia="方正仿宋简体"/>
          <w:b/>
          <w:sz w:val="28"/>
          <w:szCs w:val="28"/>
        </w:rPr>
        <w:t>8、与上年比较“三公经费“控制情况。</w:t>
      </w:r>
      <w:r>
        <w:rPr>
          <w:rFonts w:hint="eastAsia" w:ascii="方正仿宋简体" w:hAnsi="宋体" w:eastAsia="方正仿宋简体"/>
          <w:sz w:val="28"/>
          <w:szCs w:val="28"/>
        </w:rPr>
        <w:t>劳动监察局为2020年预算独立单位，无上年比较数据。</w:t>
      </w:r>
    </w:p>
    <w:p>
      <w:pPr>
        <w:spacing w:line="600" w:lineRule="exact"/>
        <w:ind w:firstLine="560" w:firstLineChars="200"/>
        <w:jc w:val="left"/>
        <w:rPr>
          <w:rFonts w:hint="eastAsia" w:ascii="方正楷体简体" w:hAnsi="宋体" w:eastAsia="方正楷体简体"/>
          <w:sz w:val="28"/>
          <w:szCs w:val="28"/>
        </w:rPr>
      </w:pPr>
      <w:r>
        <w:rPr>
          <w:rFonts w:hint="eastAsia" w:ascii="方正楷体简体" w:hAnsi="宋体" w:eastAsia="方正楷体简体"/>
          <w:sz w:val="28"/>
          <w:szCs w:val="28"/>
        </w:rPr>
        <w:t>（二）专项支出的管理和使用情况</w:t>
      </w:r>
    </w:p>
    <w:p>
      <w:pPr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sz w:val="28"/>
          <w:szCs w:val="28"/>
        </w:rPr>
      </w:pPr>
      <w:r>
        <w:rPr>
          <w:rFonts w:hint="eastAsia" w:ascii="方正仿宋简体" w:hAnsi="宋体" w:eastAsia="方正仿宋简体"/>
          <w:b/>
          <w:sz w:val="28"/>
          <w:szCs w:val="28"/>
        </w:rPr>
        <w:t>1、专项资金安排落实，总投入等情况分析</w:t>
      </w:r>
      <w:r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  <w:t>（单位：万元）</w:t>
      </w:r>
    </w:p>
    <w:tbl>
      <w:tblPr>
        <w:tblStyle w:val="5"/>
        <w:tblW w:w="82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4"/>
        <w:gridCol w:w="2163"/>
        <w:gridCol w:w="2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27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b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sz w:val="24"/>
              </w:rPr>
              <w:t>项目名称</w:t>
            </w:r>
          </w:p>
        </w:tc>
        <w:tc>
          <w:tcPr>
            <w:tcW w:w="216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b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sz w:val="24"/>
              </w:rPr>
              <w:t>专项资金</w:t>
            </w:r>
          </w:p>
        </w:tc>
        <w:tc>
          <w:tcPr>
            <w:tcW w:w="277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b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sz w:val="24"/>
              </w:rPr>
              <w:t>实际到位资金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27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监察综合执法</w:t>
            </w:r>
          </w:p>
        </w:tc>
        <w:tc>
          <w:tcPr>
            <w:tcW w:w="216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18</w:t>
            </w:r>
          </w:p>
        </w:tc>
        <w:tc>
          <w:tcPr>
            <w:tcW w:w="277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27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监察法规宣传</w:t>
            </w:r>
          </w:p>
        </w:tc>
        <w:tc>
          <w:tcPr>
            <w:tcW w:w="216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</w:t>
            </w:r>
          </w:p>
        </w:tc>
        <w:tc>
          <w:tcPr>
            <w:tcW w:w="277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27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农民工工资清欠工作</w:t>
            </w:r>
          </w:p>
        </w:tc>
        <w:tc>
          <w:tcPr>
            <w:tcW w:w="216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10</w:t>
            </w:r>
          </w:p>
        </w:tc>
        <w:tc>
          <w:tcPr>
            <w:tcW w:w="277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27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执法着装专项</w:t>
            </w:r>
          </w:p>
        </w:tc>
        <w:tc>
          <w:tcPr>
            <w:tcW w:w="216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9.6</w:t>
            </w:r>
          </w:p>
        </w:tc>
        <w:tc>
          <w:tcPr>
            <w:tcW w:w="277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27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执法大厅建设</w:t>
            </w:r>
          </w:p>
        </w:tc>
        <w:tc>
          <w:tcPr>
            <w:tcW w:w="216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24.9</w:t>
            </w:r>
          </w:p>
        </w:tc>
        <w:tc>
          <w:tcPr>
            <w:tcW w:w="277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24.9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27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“两网化”联动管理</w:t>
            </w:r>
          </w:p>
        </w:tc>
        <w:tc>
          <w:tcPr>
            <w:tcW w:w="216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19.94</w:t>
            </w:r>
          </w:p>
        </w:tc>
        <w:tc>
          <w:tcPr>
            <w:tcW w:w="277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19.94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27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合计</w:t>
            </w:r>
          </w:p>
        </w:tc>
        <w:tc>
          <w:tcPr>
            <w:tcW w:w="216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84.44</w:t>
            </w:r>
          </w:p>
        </w:tc>
        <w:tc>
          <w:tcPr>
            <w:tcW w:w="277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84.44</w:t>
            </w:r>
          </w:p>
        </w:tc>
      </w:tr>
    </w:tbl>
    <w:p>
      <w:pPr>
        <w:spacing w:line="600" w:lineRule="exact"/>
        <w:ind w:firstLine="412" w:firstLineChars="147"/>
        <w:rPr>
          <w:rFonts w:hint="eastAsia" w:ascii="方正仿宋简体" w:hAnsi="宋体" w:eastAsia="方正仿宋简体" w:cs="宋体"/>
          <w:b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b/>
          <w:color w:val="000000"/>
          <w:kern w:val="0"/>
          <w:sz w:val="28"/>
          <w:szCs w:val="28"/>
        </w:rPr>
        <w:t>2、专项资金实际使用情况分析</w:t>
      </w:r>
    </w:p>
    <w:p>
      <w:pPr>
        <w:spacing w:line="600" w:lineRule="exact"/>
        <w:ind w:firstLine="412" w:firstLineChars="147"/>
        <w:rPr>
          <w:rFonts w:hint="eastAsia" w:ascii="方正仿宋简体" w:hAnsi="宋体" w:eastAsia="方正仿宋简体" w:cs="宋体"/>
          <w:b/>
          <w:color w:val="000000"/>
          <w:kern w:val="0"/>
          <w:sz w:val="28"/>
          <w:szCs w:val="28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9"/>
        <w:gridCol w:w="1738"/>
        <w:gridCol w:w="2190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53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b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sz w:val="24"/>
              </w:rPr>
              <w:t>项目名称</w:t>
            </w:r>
          </w:p>
        </w:tc>
        <w:tc>
          <w:tcPr>
            <w:tcW w:w="173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b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sz w:val="24"/>
              </w:rPr>
              <w:t>专项资金</w:t>
            </w:r>
          </w:p>
        </w:tc>
        <w:tc>
          <w:tcPr>
            <w:tcW w:w="21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b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sz w:val="24"/>
              </w:rPr>
              <w:t>资金使用情况</w:t>
            </w:r>
          </w:p>
        </w:tc>
        <w:tc>
          <w:tcPr>
            <w:tcW w:w="2055" w:type="dxa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b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sz w:val="24"/>
              </w:rPr>
              <w:t>资金结余情况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53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监察综合执法</w:t>
            </w:r>
          </w:p>
        </w:tc>
        <w:tc>
          <w:tcPr>
            <w:tcW w:w="173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18</w:t>
            </w:r>
          </w:p>
        </w:tc>
        <w:tc>
          <w:tcPr>
            <w:tcW w:w="21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18</w:t>
            </w:r>
          </w:p>
        </w:tc>
        <w:tc>
          <w:tcPr>
            <w:tcW w:w="2055" w:type="dxa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53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监察法规宣传</w:t>
            </w:r>
          </w:p>
        </w:tc>
        <w:tc>
          <w:tcPr>
            <w:tcW w:w="173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</w:t>
            </w:r>
          </w:p>
        </w:tc>
        <w:tc>
          <w:tcPr>
            <w:tcW w:w="21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</w:t>
            </w:r>
          </w:p>
        </w:tc>
        <w:tc>
          <w:tcPr>
            <w:tcW w:w="2055" w:type="dxa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53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农民工工资清欠工作</w:t>
            </w:r>
          </w:p>
        </w:tc>
        <w:tc>
          <w:tcPr>
            <w:tcW w:w="173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10</w:t>
            </w:r>
          </w:p>
        </w:tc>
        <w:tc>
          <w:tcPr>
            <w:tcW w:w="21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10</w:t>
            </w:r>
          </w:p>
        </w:tc>
        <w:tc>
          <w:tcPr>
            <w:tcW w:w="2055" w:type="dxa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53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执法着装专项</w:t>
            </w:r>
          </w:p>
        </w:tc>
        <w:tc>
          <w:tcPr>
            <w:tcW w:w="173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9.6</w:t>
            </w:r>
          </w:p>
        </w:tc>
        <w:tc>
          <w:tcPr>
            <w:tcW w:w="21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9.6</w:t>
            </w:r>
          </w:p>
        </w:tc>
        <w:tc>
          <w:tcPr>
            <w:tcW w:w="2055" w:type="dxa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53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执法大厅建设</w:t>
            </w:r>
          </w:p>
        </w:tc>
        <w:tc>
          <w:tcPr>
            <w:tcW w:w="173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24.9</w:t>
            </w:r>
          </w:p>
        </w:tc>
        <w:tc>
          <w:tcPr>
            <w:tcW w:w="21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24.9</w:t>
            </w:r>
          </w:p>
        </w:tc>
        <w:tc>
          <w:tcPr>
            <w:tcW w:w="2055" w:type="dxa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53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“两网化”联动管理</w:t>
            </w:r>
          </w:p>
        </w:tc>
        <w:tc>
          <w:tcPr>
            <w:tcW w:w="173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19.9</w:t>
            </w:r>
          </w:p>
        </w:tc>
        <w:tc>
          <w:tcPr>
            <w:tcW w:w="21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11.9</w:t>
            </w:r>
          </w:p>
        </w:tc>
        <w:tc>
          <w:tcPr>
            <w:tcW w:w="2055" w:type="dxa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53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合计</w:t>
            </w:r>
          </w:p>
        </w:tc>
        <w:tc>
          <w:tcPr>
            <w:tcW w:w="173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84.4</w:t>
            </w:r>
          </w:p>
        </w:tc>
        <w:tc>
          <w:tcPr>
            <w:tcW w:w="21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76.4</w:t>
            </w:r>
          </w:p>
        </w:tc>
        <w:tc>
          <w:tcPr>
            <w:tcW w:w="2055" w:type="dxa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</w:t>
            </w:r>
          </w:p>
        </w:tc>
      </w:tr>
    </w:tbl>
    <w:p>
      <w:pPr>
        <w:spacing w:line="600" w:lineRule="exact"/>
        <w:ind w:firstLine="412" w:firstLineChars="147"/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b/>
          <w:color w:val="000000"/>
          <w:kern w:val="0"/>
          <w:sz w:val="28"/>
          <w:szCs w:val="28"/>
        </w:rPr>
        <w:t>3、专项资金管理情况分析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  <w:t>1、2020年我局进行执法大厅和“两网化”联动管理建设，夯实劳动保障监察工作的基础。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  <w:t>2、按省厅要求进行执法着装，加强劳动保障监察队伍建设。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  <w:t>3、大力宣传劳动法律法规，印发宣传单、各类政策资料，开展宣传普及工作，开创良好工作局面。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  <w:t>4、加强综合执法和专项执法工作。一是开展农民工工资清欠专项行动；二是进行日常综合执法行动。</w:t>
      </w:r>
    </w:p>
    <w:p>
      <w:pPr>
        <w:widowControl/>
        <w:shd w:val="clear" w:color="auto" w:fill="FFFFFF"/>
        <w:spacing w:line="600" w:lineRule="exact"/>
        <w:ind w:firstLine="562" w:firstLineChars="200"/>
        <w:jc w:val="left"/>
        <w:rPr>
          <w:rFonts w:hint="eastAsia" w:ascii="黑体" w:hAnsi="黑体" w:eastAsia="黑体" w:cs="宋体"/>
          <w:b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b/>
          <w:color w:val="000000"/>
          <w:kern w:val="0"/>
          <w:sz w:val="28"/>
          <w:szCs w:val="28"/>
        </w:rPr>
        <w:t>三、部门专项组织实施情况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楷体简体" w:hAnsi="宋体" w:eastAsia="方正楷体简体" w:cs="宋体"/>
          <w:b/>
          <w:color w:val="000000"/>
          <w:kern w:val="0"/>
          <w:sz w:val="28"/>
          <w:szCs w:val="28"/>
        </w:rPr>
      </w:pPr>
      <w:r>
        <w:rPr>
          <w:rFonts w:hint="eastAsia" w:ascii="方正楷体简体" w:hAnsi="宋体" w:eastAsia="方正楷体简体" w:cs="宋体"/>
          <w:b/>
          <w:color w:val="000000"/>
          <w:kern w:val="0"/>
          <w:sz w:val="28"/>
          <w:szCs w:val="28"/>
        </w:rPr>
        <w:t>（一）专项组织情况分析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楷体简体" w:hAnsi="宋体" w:eastAsia="方正楷体简体" w:cs="宋体"/>
          <w:b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  <w:t>通过财政统一预算方式组织专项资金。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楷体简体" w:hAnsi="宋体" w:eastAsia="方正楷体简体" w:cs="宋体"/>
          <w:b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楷体简体" w:hAnsi="宋体" w:eastAsia="方正楷体简体"/>
          <w:color w:val="000000"/>
          <w:kern w:val="0"/>
          <w:sz w:val="28"/>
          <w:szCs w:val="28"/>
        </w:rPr>
      </w:pPr>
      <w:r>
        <w:rPr>
          <w:rFonts w:hint="eastAsia" w:ascii="方正楷体简体" w:hAnsi="宋体" w:eastAsia="方正楷体简体" w:cs="宋体"/>
          <w:b/>
          <w:color w:val="000000"/>
          <w:kern w:val="0"/>
          <w:sz w:val="28"/>
          <w:szCs w:val="28"/>
        </w:rPr>
        <w:t>（二）专项资金管理情况分析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  <w:t>专项总体评价：专项设置合理、规范管理到位、项目完成良好、运行保障有力、社会反响好，专项目标任务达成。</w:t>
      </w:r>
    </w:p>
    <w:p>
      <w:pPr>
        <w:widowControl/>
        <w:shd w:val="clear" w:color="auto" w:fill="FFFFFF"/>
        <w:spacing w:line="600" w:lineRule="exact"/>
        <w:ind w:firstLine="562" w:firstLineChars="200"/>
        <w:jc w:val="left"/>
        <w:rPr>
          <w:rFonts w:hint="eastAsia" w:ascii="黑体" w:hAnsi="黑体" w:eastAsia="黑体" w:cs="宋体"/>
          <w:b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b/>
          <w:color w:val="000000"/>
          <w:kern w:val="0"/>
          <w:sz w:val="28"/>
          <w:szCs w:val="28"/>
        </w:rPr>
        <w:t>四、存在的问题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  <w:t>单位财务人员缺乏。</w:t>
      </w:r>
    </w:p>
    <w:p>
      <w:pPr>
        <w:widowControl/>
        <w:shd w:val="clear" w:color="auto" w:fill="FFFFFF"/>
        <w:spacing w:line="600" w:lineRule="exact"/>
        <w:ind w:firstLine="562" w:firstLineChars="200"/>
        <w:jc w:val="left"/>
        <w:rPr>
          <w:rFonts w:hint="eastAsia" w:ascii="黑体" w:hAnsi="黑体" w:eastAsia="黑体" w:cs="宋体"/>
          <w:b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/>
          <w:b/>
          <w:color w:val="000000"/>
          <w:kern w:val="0"/>
          <w:sz w:val="28"/>
          <w:szCs w:val="28"/>
        </w:rPr>
        <w:t>五、</w:t>
      </w:r>
      <w:r>
        <w:rPr>
          <w:rFonts w:hint="eastAsia" w:ascii="黑体" w:hAnsi="黑体" w:eastAsia="黑体" w:cs="宋体"/>
          <w:b/>
          <w:color w:val="000000"/>
          <w:kern w:val="0"/>
          <w:sz w:val="28"/>
          <w:szCs w:val="28"/>
        </w:rPr>
        <w:t xml:space="preserve">改进措施及有关建议 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楷体简体" w:hAnsi="宋体" w:eastAsia="方正楷体简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  <w:t>增加财务人员数量，提高财务人员学习能力，优化财务人员知识结构。</w:t>
      </w:r>
    </w:p>
    <w:p>
      <w:pPr>
        <w:spacing w:line="600" w:lineRule="exact"/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</w:pPr>
    </w:p>
    <w:p>
      <w:pPr>
        <w:spacing w:line="600" w:lineRule="exact"/>
        <w:ind w:firstLine="570"/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</w:pPr>
    </w:p>
    <w:p>
      <w:pPr>
        <w:spacing w:line="600" w:lineRule="exact"/>
        <w:ind w:firstLine="4345" w:firstLineChars="1552"/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  <w:t>沅江市劳动监察局</w:t>
      </w:r>
    </w:p>
    <w:p>
      <w:pPr>
        <w:spacing w:line="600" w:lineRule="exact"/>
        <w:ind w:firstLine="4345" w:firstLineChars="1552"/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  <w:t>二0二一年八月十日</w:t>
      </w:r>
    </w:p>
    <w:p>
      <w:pPr>
        <w:rPr>
          <w:rFonts w:hint="eastAsia" w:ascii="方正仿宋简体" w:hAnsi="宋体" w:eastAsia="方正仿宋简体"/>
          <w:sz w:val="28"/>
          <w:szCs w:val="28"/>
        </w:rPr>
      </w:pPr>
    </w:p>
    <w:p>
      <w:pPr>
        <w:widowControl/>
        <w:shd w:val="clear" w:color="auto" w:fill="FFFFFF"/>
        <w:spacing w:before="120" w:line="432" w:lineRule="atLeast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hd w:val="clear" w:color="auto" w:fill="FFFFFF"/>
        <w:spacing w:before="120" w:line="432" w:lineRule="atLeast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楷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yMDg3M2ViZGRlODQ2MTk2MTU0ZjEzNzZkZGY5MmUifQ=="/>
  </w:docVars>
  <w:rsids>
    <w:rsidRoot w:val="00B244C2"/>
    <w:rsid w:val="002E19D2"/>
    <w:rsid w:val="0089338F"/>
    <w:rsid w:val="00A6533D"/>
    <w:rsid w:val="00B244C2"/>
    <w:rsid w:val="00BB7EF0"/>
    <w:rsid w:val="06E547A0"/>
    <w:rsid w:val="0D002E1D"/>
    <w:rsid w:val="15BB37EC"/>
    <w:rsid w:val="2CAC1C47"/>
    <w:rsid w:val="44BA5501"/>
    <w:rsid w:val="7EED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font71"/>
    <w:basedOn w:val="6"/>
    <w:uiPriority w:val="0"/>
    <w:rPr>
      <w:rFonts w:hint="default" w:ascii="Times New Roman" w:hAnsi="Times New Roman" w:eastAsia="楷体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1799</Words>
  <Characters>2037</Characters>
  <Lines>16</Lines>
  <Paragraphs>4</Paragraphs>
  <TotalTime>11</TotalTime>
  <ScaleCrop>false</ScaleCrop>
  <LinksUpToDate>false</LinksUpToDate>
  <CharactersWithSpaces>2045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2022-09-01T03:35:00Z</dcterms:created>
  <dc:creator>tangh</dc:creator>
  <cp:lastModifiedBy>tmy</cp:lastModifiedBy>
  <dcterms:modified xsi:type="dcterms:W3CDTF">2023-10-09T03:34:13Z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4DC861BB300D449491D904EFDD80C820_12</vt:lpwstr>
  </property>
</Properties>
</file>