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pPr>
        <w:pStyle w:val="13"/>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沅江市水利局</w:t>
      </w: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部门</w:t>
      </w:r>
      <w:r>
        <w:rPr>
          <w:rFonts w:hint="eastAsia" w:ascii="方正小标宋_GBK" w:hAnsi="方正小标宋_GBK" w:eastAsia="方正小标宋_GBK" w:cs="方正小标宋_GBK"/>
          <w:sz w:val="84"/>
          <w:szCs w:val="84"/>
        </w:rPr>
        <w:t>决算</w:t>
      </w:r>
    </w:p>
    <w:p>
      <w:pPr>
        <w:pStyle w:val="13"/>
        <w:jc w:val="both"/>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both"/>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沅江市水利局</w:t>
      </w:r>
      <w:r>
        <w:rPr>
          <w:rFonts w:hint="eastAsia" w:ascii="黑体" w:hAnsi="黑体" w:eastAsia="黑体" w:cs="黑体"/>
          <w:b w:val="0"/>
          <w:bCs/>
          <w:sz w:val="28"/>
          <w:szCs w:val="28"/>
        </w:rPr>
        <w:t>概况</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沅江市水利局</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（一）贯彻国家有关水利的法律法规和国家水利工作的方针、政策,并监督检查执行。</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（二）拟订全市水利工作的发展战略、中长期规划和年度计划,并监督实施。</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（三）负责全市水资源(含中水、地表水、地下水)的统一管理, 维护正常的水事秩序；拟订水资源保护规划,组织指导水功能区的划分, 提出不同水功能区限制排污总量控制意见；制定全市水长期供求计划、水量分配方案,保护水资源并负责监督管理；组织实施取水许可制度,管理城乡节约用水工作；</w:t>
      </w:r>
      <w:r>
        <w:rPr>
          <w:rFonts w:hint="eastAsia" w:ascii="Times New Roman" w:hAnsi="Times New Roman" w:eastAsia="仿宋_GB2312" w:cs="仿宋_GB2312"/>
          <w:sz w:val="32"/>
          <w:szCs w:val="32"/>
          <w:lang w:val="en-US" w:eastAsia="zh-CN"/>
        </w:rPr>
        <w:t>负责</w:t>
      </w:r>
      <w:r>
        <w:rPr>
          <w:rFonts w:hint="eastAsia" w:ascii="Times New Roman" w:hAnsi="Times New Roman" w:eastAsia="仿宋_GB2312" w:cs="仿宋_GB2312"/>
          <w:sz w:val="32"/>
          <w:szCs w:val="32"/>
        </w:rPr>
        <w:t>水资源费的征收。</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（四）制定水利行业经济发展规划；负责水利行业的国有资产保值增值的监管, 对水利资金的使用进行监管；负责管理全市水利经济工作 。</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负责全市水利建设与管理。负责组织编制、审查水利基建项目可行性报告、规划和设计；负责对全市水利工程建设质量进行监督；负责管理一线防洪大提、重点间提、渍堤和跨乡镇的重要水利工程；负责水利血防灭螺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负责全市河道、湖泊、水库的综合治理工作；负责组织、实施、指导水利设施、水域及岸线的管理与保护，组织实施指导河口滩洲的治理和开发，负责河道采砂、取土管理费的征收；协同有关部门组织对河道疏浚和防洪大堤的加固,负责汛期河道、湖泊的控障、清障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（七）负责全市水土保持、水土保持监测和综合防治工作；负责水土保持规费征收制度的实施。</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（八）承担市防汛抗旱指挥部的日常工作；组织、协调、监督、指导全市防汛抗旱工作,对防汛物资的采购、储备、供应、调度实行行业管理；承担水利突发公共事件的应急管理工作。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（九）指导农村水利工作；组织协调水利建设、乡镇供水、节水灌溉工作；管理和监督全市机电排灌的规划建设, 指导全市机电排灌设施的维修工作 。</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（十）负责全市农村饮水安全工程的规划、建设和管理工作。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（十一）负责全市蓄洪安全建设, 工程运行管理与维护。</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（十二）负责水政监察和水行政执法,负责调处、仲裁水事纠纷。</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（十三）承办市委、 市人民政府及上级业务部门交办的其他工作。</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内设机构设置。</w:t>
      </w:r>
      <w:r>
        <w:rPr>
          <w:rFonts w:hint="eastAsia" w:ascii="Times New Roman" w:hAnsi="Times New Roman" w:eastAsia="仿宋_GB2312" w:cs="仿宋_GB2312"/>
          <w:bCs/>
          <w:kern w:val="0"/>
          <w:sz w:val="32"/>
          <w:szCs w:val="32"/>
          <w:lang w:val="en-US" w:eastAsia="zh-CN"/>
        </w:rPr>
        <w:t>水利局</w:t>
      </w:r>
      <w:r>
        <w:rPr>
          <w:rFonts w:hint="eastAsia" w:ascii="Times New Roman" w:hAnsi="Times New Roman" w:eastAsia="仿宋_GB2312" w:cs="仿宋_GB2312"/>
          <w:bCs/>
          <w:kern w:val="0"/>
          <w:sz w:val="32"/>
          <w:szCs w:val="32"/>
        </w:rPr>
        <w:t>内设机构包括：</w:t>
      </w:r>
      <w:r>
        <w:rPr>
          <w:rFonts w:hint="eastAsia" w:ascii="仿宋_GB2312" w:hAnsi="仿宋" w:eastAsia="仿宋_GB2312"/>
          <w:sz w:val="32"/>
          <w:szCs w:val="32"/>
          <w:lang w:val="en-US" w:eastAsia="zh-CN"/>
        </w:rPr>
        <w:t>2023年沅江市水利局所属事业单位17个，其中：基层水管站14个（其中12个因改革归属于其所在镇街道，但其财务实行五年过渡期，由市水利局实行综合预算管理）、局直属独立二级事业机构4个。机构变动的主要原因是：改制单位已不纳入局机构管理。</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center"/>
        <w:rPr>
          <w:sz w:val="72"/>
          <w:szCs w:val="72"/>
        </w:rPr>
      </w:pPr>
    </w:p>
    <w:p>
      <w:pPr>
        <w:jc w:val="center"/>
        <w:rPr>
          <w:sz w:val="72"/>
          <w:szCs w:val="72"/>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3"/>
        <w:jc w:val="center"/>
        <w:rPr>
          <w:rFonts w:hint="eastAsia" w:ascii="方正小标宋_GBK" w:hAnsi="方正小标宋_GBK" w:eastAsia="方正小标宋_GBK" w:cs="方正小标宋_GBK"/>
          <w:sz w:val="84"/>
          <w:szCs w:val="84"/>
        </w:rPr>
      </w:pPr>
    </w:p>
    <w:p>
      <w:pPr>
        <w:pStyle w:val="13"/>
        <w:jc w:val="center"/>
        <w:rPr>
          <w:rFonts w:hint="default" w:eastAsia="方正小标宋_GBK"/>
          <w:sz w:val="72"/>
          <w:szCs w:val="72"/>
          <w:lang w:val="en-US" w:eastAsia="zh-CN"/>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方正小标宋_GBK" w:hAnsi="方正小标宋_GBK" w:eastAsia="方正小标宋_GBK" w:cs="方正小标宋_GBK"/>
          <w:sz w:val="84"/>
          <w:szCs w:val="84"/>
        </w:rPr>
        <w:t>部门决</w:t>
      </w:r>
      <w:r>
        <w:rPr>
          <w:rFonts w:hint="eastAsia" w:ascii="方正小标宋_GBK" w:hAnsi="方正小标宋_GBK" w:eastAsia="方正小标宋_GBK" w:cs="方正小标宋_GBK"/>
          <w:sz w:val="84"/>
          <w:szCs w:val="84"/>
          <w:lang w:val="en-US" w:eastAsia="zh-CN"/>
        </w:rPr>
        <w:t>算表</w:t>
      </w:r>
      <w:bookmarkStart w:id="3" w:name="_GoBack"/>
      <w:bookmarkEnd w:id="3"/>
    </w:p>
    <w:tbl>
      <w:tblPr>
        <w:tblStyle w:val="8"/>
        <w:tblW w:w="15428" w:type="dxa"/>
        <w:tblInd w:w="0" w:type="dxa"/>
        <w:tblLayout w:type="fixed"/>
        <w:tblCellMar>
          <w:top w:w="0" w:type="dxa"/>
          <w:left w:w="0" w:type="dxa"/>
          <w:bottom w:w="0" w:type="dxa"/>
          <w:right w:w="0" w:type="dxa"/>
        </w:tblCellMar>
      </w:tblPr>
      <w:tblGrid>
        <w:gridCol w:w="270"/>
        <w:gridCol w:w="270"/>
        <w:gridCol w:w="1481"/>
        <w:gridCol w:w="1807"/>
        <w:gridCol w:w="1807"/>
        <w:gridCol w:w="1807"/>
        <w:gridCol w:w="1807"/>
        <w:gridCol w:w="1807"/>
        <w:gridCol w:w="1807"/>
        <w:gridCol w:w="2565"/>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34"/>
              <w:gridCol w:w="575"/>
              <w:gridCol w:w="1313"/>
              <w:gridCol w:w="4682"/>
              <w:gridCol w:w="1574"/>
              <w:gridCol w:w="594"/>
              <w:gridCol w:w="763"/>
              <w:gridCol w:w="1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395" w:type="dxa"/>
                  <w:tcBorders>
                    <w:top w:val="nil"/>
                    <w:left w:val="nil"/>
                    <w:bottom w:val="nil"/>
                    <w:right w:val="nil"/>
                  </w:tcBorders>
                  <w:shd w:val="clear" w:color="auto" w:fill="auto"/>
                  <w:noWrap/>
                  <w:vAlign w:val="center"/>
                </w:tcPr>
                <w:p>
                  <w:pPr>
                    <w:jc w:val="left"/>
                    <w:rPr>
                      <w:rFonts w:hint="eastAsia" w:ascii="黑体" w:hAnsi="宋体" w:eastAsia="黑体" w:cs="黑体"/>
                      <w:i w:val="0"/>
                      <w:color w:val="000000"/>
                      <w:sz w:val="24"/>
                      <w:szCs w:val="24"/>
                      <w:u w:val="none"/>
                    </w:rPr>
                  </w:pPr>
                </w:p>
              </w:tc>
              <w:tc>
                <w:tcPr>
                  <w:tcW w:w="599"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386"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4980"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683" w:type="dxa"/>
                  <w:gridSpan w:val="2"/>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355" w:type="dxa"/>
                  <w:gridSpan w:val="2"/>
                  <w:tcBorders>
                    <w:top w:val="nil"/>
                    <w:left w:val="nil"/>
                    <w:bottom w:val="nil"/>
                    <w:right w:val="nil"/>
                  </w:tcBorders>
                  <w:shd w:val="clear" w:color="auto" w:fill="auto"/>
                  <w:noWrap/>
                  <w:vAlign w:val="center"/>
                </w:tcPr>
                <w:p>
                  <w:pPr>
                    <w:jc w:val="right"/>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78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55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867"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4"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674"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789"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5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867"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4"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674"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55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56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62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2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21792.51</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158.87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31.36</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rPr>
                  </w:pPr>
                  <w:r>
                    <w:rPr>
                      <w:rFonts w:hint="eastAsia" w:ascii="宋体" w:hAnsi="宋体" w:eastAsia="宋体" w:cs="宋体"/>
                      <w:i w:val="0"/>
                      <w:color w:val="000000"/>
                      <w:sz w:val="22"/>
                      <w:szCs w:val="22"/>
                      <w:u w:val="none"/>
                      <w:lang w:val="en-US" w:eastAsia="zh-CN"/>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29346.32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7733.08</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29556.94</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29510.49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62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699.38</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745.83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30256.32</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30256.32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27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7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54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02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80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5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54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202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5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202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29556.94</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ascii="宋体" w:hAnsi="宋体" w:eastAsia="宋体" w:cs="宋体"/>
                <w:b w:val="0"/>
                <w:bCs w:val="0"/>
                <w:sz w:val="24"/>
                <w:szCs w:val="24"/>
                <w:lang w:val="en-US"/>
              </w:rPr>
            </w:pPr>
            <w:r>
              <w:rPr>
                <w:rFonts w:hint="eastAsia" w:ascii="宋体" w:hAnsi="宋体" w:eastAsia="宋体" w:cs="宋体"/>
                <w:b w:val="0"/>
                <w:bCs w:val="0"/>
                <w:i w:val="0"/>
                <w:iCs w:val="0"/>
                <w:color w:val="000000"/>
                <w:kern w:val="0"/>
                <w:sz w:val="24"/>
                <w:szCs w:val="24"/>
                <w:u w:val="none"/>
                <w:lang w:val="en-US" w:eastAsia="zh-CN" w:bidi="ar"/>
              </w:rPr>
              <w:t>21823.86</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7733.08</w:t>
            </w:r>
            <w:r>
              <w:rPr>
                <w:rFonts w:hint="eastAsia" w:ascii="宋体" w:hAnsi="宋体" w:eastAsia="宋体" w:cs="宋体"/>
                <w:sz w:val="24"/>
                <w:szCs w:val="24"/>
              </w:rPr>
              <w:t>　</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158.87</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158.87</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5.3</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5.3</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121.95</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121.95</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19741.6</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19741.6</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0.00</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0.00</w:t>
            </w:r>
            <w:r>
              <w:rPr>
                <w:rFonts w:hint="eastAsia" w:ascii="宋体" w:hAnsi="宋体" w:eastAsia="宋体" w:cs="宋体"/>
                <w:sz w:val="21"/>
                <w:szCs w:val="21"/>
              </w:rPr>
              <w:t>　</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自然资源海洋等气象支出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1189</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1189</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1"/>
                <w:szCs w:val="21"/>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0.00</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1"/>
                <w:szCs w:val="21"/>
                <w:lang w:val="en-US" w:eastAsia="zh-CN" w:bidi="ar-SA"/>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kern w:val="2"/>
                <w:sz w:val="21"/>
                <w:szCs w:val="21"/>
                <w:lang w:val="en-US" w:eastAsia="zh-CN" w:bidi="ar-SA"/>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rPr>
            </w:pPr>
            <w:r>
              <w:rPr>
                <w:rFonts w:hint="eastAsia" w:ascii="宋体" w:hAnsi="宋体" w:eastAsia="宋体" w:cs="宋体"/>
                <w:sz w:val="21"/>
                <w:szCs w:val="21"/>
                <w:lang w:val="en-US" w:eastAsia="zh-CN"/>
              </w:rPr>
              <w:t>408.55</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408.55</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7931.67</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167.23</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7733.08</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hint="eastAsia" w:ascii="宋体" w:hAnsi="宋体" w:eastAsia="宋体" w:cs="宋体"/>
          <w:kern w:val="0"/>
          <w:sz w:val="24"/>
          <w:szCs w:val="24"/>
        </w:rPr>
        <w:t>注：本表反映部门本年度取得的各项收入情况。</w:t>
      </w:r>
      <w:r>
        <w:rPr>
          <w:rFonts w:ascii="Times New Roman" w:hAnsi="Times New Roman" w:eastAsia="黑体" w:cs="Times New Roman"/>
          <w:bCs/>
          <w:kern w:val="0"/>
          <w:sz w:val="32"/>
          <w:szCs w:val="32"/>
        </w:rPr>
        <w:br w:type="page"/>
      </w:r>
    </w:p>
    <w:tbl>
      <w:tblPr>
        <w:tblStyle w:val="8"/>
        <w:tblpPr w:leftFromText="180" w:rightFromText="180" w:vertAnchor="text" w:horzAnchor="page" w:tblpX="776" w:tblpY="326"/>
        <w:tblOverlap w:val="never"/>
        <w:tblW w:w="15640" w:type="dxa"/>
        <w:tblInd w:w="0" w:type="dxa"/>
        <w:tblLayout w:type="fixed"/>
        <w:tblCellMar>
          <w:top w:w="0" w:type="dxa"/>
          <w:left w:w="108" w:type="dxa"/>
          <w:bottom w:w="0" w:type="dxa"/>
          <w:right w:w="108" w:type="dxa"/>
        </w:tblCellMar>
      </w:tblPr>
      <w:tblGrid>
        <w:gridCol w:w="1236"/>
        <w:gridCol w:w="240"/>
        <w:gridCol w:w="2235"/>
        <w:gridCol w:w="1810"/>
        <w:gridCol w:w="1833"/>
        <w:gridCol w:w="1867"/>
        <w:gridCol w:w="2083"/>
        <w:gridCol w:w="1883"/>
        <w:gridCol w:w="2453"/>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5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7"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5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371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8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86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20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8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45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23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8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2"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23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371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8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3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6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08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88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4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595" w:hRule="atLeast"/>
        </w:trPr>
        <w:tc>
          <w:tcPr>
            <w:tcW w:w="371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29510.49</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2089.13</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27421.36</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158.87</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37.16</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121.71</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5.3</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5.3</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121.95</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41.04</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80.9</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1350</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1350</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19741.6</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1538.17</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18203.44</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自然资源海洋等气象支出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1189</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1189</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408.55</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408.55</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223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8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7885.21</w:t>
            </w:r>
          </w:p>
        </w:tc>
        <w:tc>
          <w:tcPr>
            <w:tcW w:w="18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58.91</w:t>
            </w:r>
          </w:p>
        </w:tc>
        <w:tc>
          <w:tcPr>
            <w:tcW w:w="18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7826.31</w:t>
            </w:r>
          </w:p>
        </w:tc>
        <w:tc>
          <w:tcPr>
            <w:tcW w:w="20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bl>
    <w:p>
      <w:pPr>
        <w:widowControl/>
        <w:jc w:val="left"/>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注：本表反映部门本年度各项支出情况。</w:t>
      </w:r>
    </w:p>
    <w:p>
      <w:pPr>
        <w:widowControl/>
        <w:jc w:val="both"/>
        <w:rPr>
          <w:rFonts w:ascii="Times New Roman" w:hAnsi="Times New Roman" w:eastAsia="方正小标宋_GBK" w:cs="Times New Roman"/>
          <w:color w:val="000000"/>
          <w:kern w:val="0"/>
          <w:sz w:val="36"/>
          <w:szCs w:val="21"/>
        </w:rPr>
      </w:pPr>
    </w:p>
    <w:tbl>
      <w:tblPr>
        <w:tblStyle w:val="8"/>
        <w:tblW w:w="15521" w:type="dxa"/>
        <w:tblInd w:w="93" w:type="dxa"/>
        <w:tblLayout w:type="fixed"/>
        <w:tblCellMar>
          <w:top w:w="0" w:type="dxa"/>
          <w:left w:w="108" w:type="dxa"/>
          <w:bottom w:w="0" w:type="dxa"/>
          <w:right w:w="108" w:type="dxa"/>
        </w:tblCellMar>
      </w:tblPr>
      <w:tblGrid>
        <w:gridCol w:w="3546"/>
        <w:gridCol w:w="481"/>
        <w:gridCol w:w="1419"/>
        <w:gridCol w:w="171"/>
        <w:gridCol w:w="2911"/>
        <w:gridCol w:w="631"/>
        <w:gridCol w:w="435"/>
        <w:gridCol w:w="1571"/>
        <w:gridCol w:w="1392"/>
        <w:gridCol w:w="1392"/>
        <w:gridCol w:w="1572"/>
      </w:tblGrid>
      <w:tr>
        <w:tblPrEx>
          <w:tblCellMar>
            <w:top w:w="0" w:type="dxa"/>
            <w:left w:w="108" w:type="dxa"/>
            <w:bottom w:w="0" w:type="dxa"/>
            <w:right w:w="108" w:type="dxa"/>
          </w:tblCellMar>
        </w:tblPrEx>
        <w:trPr>
          <w:trHeight w:val="285" w:hRule="atLeast"/>
        </w:trPr>
        <w:tc>
          <w:tcPr>
            <w:tcW w:w="354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8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8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1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4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8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1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44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075"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4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21792.51</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158.87</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158.87</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31.36</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rPr>
            </w:pPr>
            <w:r>
              <w:rPr>
                <w:rFonts w:hint="eastAsia" w:ascii="宋体" w:hAnsi="宋体" w:eastAsia="宋体" w:cs="宋体"/>
                <w:kern w:val="0"/>
                <w:sz w:val="22"/>
                <w:lang w:val="en-US" w:eastAsia="zh-CN"/>
              </w:rPr>
              <w:t>5.3</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rPr>
            </w:pPr>
            <w:r>
              <w:rPr>
                <w:rFonts w:hint="eastAsia" w:ascii="宋体" w:hAnsi="宋体" w:eastAsia="宋体" w:cs="宋体"/>
                <w:kern w:val="0"/>
                <w:sz w:val="22"/>
                <w:lang w:val="en-US" w:eastAsia="zh-CN"/>
              </w:rPr>
              <w:t>5.3</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21659.7</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21628.34</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31.36</w:t>
            </w: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21823.86</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21823.86</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21792.51</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31.36</w:t>
            </w: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0.00</w:t>
            </w: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8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21823.86</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1" w:type="dxa"/>
            <w:tcBorders>
              <w:top w:val="nil"/>
              <w:left w:val="nil"/>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21823.86</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000000" w:fill="FFFFFF"/>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21792.51</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31.36</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0.00</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21792.51</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2030.22</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19762.28</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158.87</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37.16</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121.71</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206</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科学技术支出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5.3</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5.3</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121.95</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41.04</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80.9</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19741.6</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1538.17</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18203.44</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220</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自然资源海洋等气象支出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1189</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1189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408.55</w:t>
            </w:r>
            <w:r>
              <w:rPr>
                <w:rFonts w:ascii="Times New Roman" w:hAnsi="Times New Roman" w:eastAsia="仿宋_GB2312" w:cs="Times New Roman"/>
                <w:kern w:val="0"/>
                <w:szCs w:val="21"/>
              </w:rPr>
              <w:t>　</w:t>
            </w:r>
          </w:p>
        </w:tc>
        <w:tc>
          <w:tcPr>
            <w:tcW w:w="3492"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408.55</w:t>
            </w: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3527"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167.23</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wordWrap w:val="0"/>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167.23 </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bl>
    <w:p>
      <w:pPr>
        <w:widowControl/>
        <w:jc w:val="left"/>
        <w:rPr>
          <w:rFonts w:hint="default" w:ascii="Times New Roman" w:hAnsi="Times New Roman" w:eastAsia="仿宋_GB2312" w:cs="Times New Roman"/>
          <w:bCs/>
          <w:kern w:val="0"/>
          <w:szCs w:val="21"/>
          <w:lang w:val="en-US" w:eastAsia="zh-CN"/>
        </w:rPr>
      </w:pPr>
      <w:r>
        <w:rPr>
          <w:rFonts w:hint="eastAsia" w:ascii="Times New Roman" w:hAnsi="Times New Roman" w:eastAsia="仿宋_GB2312" w:cs="Times New Roman"/>
          <w:bCs/>
          <w:kern w:val="0"/>
          <w:szCs w:val="21"/>
          <w:lang w:val="en-US" w:eastAsia="zh-CN"/>
        </w:rPr>
        <w:t xml:space="preserve">     </w:t>
      </w:r>
      <w:r>
        <w:rPr>
          <w:rFonts w:hint="eastAsia" w:ascii="Times New Roman" w:hAnsi="Times New Roman" w:eastAsia="仿宋_GB2312" w:cs="Times New Roman"/>
          <w:bCs/>
          <w:kern w:val="0"/>
          <w:szCs w:val="21"/>
        </w:rPr>
        <w:t>注：本表反映部门本年度一般公共预算财政拨款支出情况。</w:t>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fixed"/>
        <w:tblCellMar>
          <w:top w:w="0" w:type="dxa"/>
          <w:left w:w="108" w:type="dxa"/>
          <w:bottom w:w="0" w:type="dxa"/>
          <w:right w:w="108" w:type="dxa"/>
        </w:tblCellMar>
      </w:tblPr>
      <w:tblGrid>
        <w:gridCol w:w="929"/>
        <w:gridCol w:w="238"/>
        <w:gridCol w:w="87"/>
        <w:gridCol w:w="1205"/>
        <w:gridCol w:w="1886"/>
        <w:gridCol w:w="95"/>
        <w:gridCol w:w="920"/>
        <w:gridCol w:w="1129"/>
        <w:gridCol w:w="284"/>
        <w:gridCol w:w="1837"/>
        <w:gridCol w:w="177"/>
        <w:gridCol w:w="838"/>
        <w:gridCol w:w="1130"/>
        <w:gridCol w:w="328"/>
        <w:gridCol w:w="1943"/>
        <w:gridCol w:w="1572"/>
        <w:gridCol w:w="619"/>
        <w:gridCol w:w="397"/>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25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经济分类科目编码</w:t>
            </w:r>
          </w:p>
        </w:tc>
        <w:tc>
          <w:tcPr>
            <w:tcW w:w="309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科目名称</w:t>
            </w:r>
          </w:p>
        </w:tc>
        <w:tc>
          <w:tcPr>
            <w:tcW w:w="101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决算数</w:t>
            </w:r>
          </w:p>
        </w:tc>
        <w:tc>
          <w:tcPr>
            <w:tcW w:w="112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经济分类科目编码</w:t>
            </w:r>
          </w:p>
        </w:tc>
        <w:tc>
          <w:tcPr>
            <w:tcW w:w="212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科目名称</w:t>
            </w:r>
          </w:p>
        </w:tc>
        <w:tc>
          <w:tcPr>
            <w:tcW w:w="101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决算数</w:t>
            </w:r>
          </w:p>
        </w:tc>
        <w:tc>
          <w:tcPr>
            <w:tcW w:w="11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43"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工资福利支出</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eastAsia="zh-CN"/>
                <w14:textFill>
                  <w14:solidFill>
                    <w14:schemeClr w14:val="tx1"/>
                  </w14:solidFill>
                </w14:textFill>
              </w:rPr>
            </w:pPr>
            <w:r>
              <w:rPr>
                <w:rFonts w:hint="eastAsia" w:ascii="宋体" w:hAnsi="宋体" w:eastAsia="宋体" w:cs="宋体"/>
                <w:color w:val="000000" w:themeColor="text1"/>
                <w:kern w:val="0"/>
                <w:szCs w:val="20"/>
                <w:lang w:val="en-US" w:eastAsia="zh-CN"/>
                <w14:textFill>
                  <w14:solidFill>
                    <w14:schemeClr w14:val="tx1"/>
                  </w14:solidFill>
                </w14:textFill>
              </w:rPr>
              <w:t>1564.1</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商品和服务支出</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3568.587</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基本工资</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549.92</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30201</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办公费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28.7</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30102</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津贴补贴</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50.2</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30202</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印刷费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17.61</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30103</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奖金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124.47</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30203</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咨询费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30106</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伙食补助费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30204</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手续费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30107</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绩效工资</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152.88</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30205</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0.18</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30108</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机关事业单位基本养老保险缴费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143.49</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30206</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电费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18.64</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30109</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职业年金缴费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30207</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邮电费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7.79</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19"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30110</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职工基本医疗保险缴费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71.04</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30208</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取暖费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公务员医疗补助缴费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30209</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物业管理费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13.78</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30112</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其他社会保障缴费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9.06</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30211</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差旅费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49.68</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30113</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住房公积金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418.03</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30212</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因公出国（境）费用</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30114</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医疗费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30213</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维修（护）费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7.53</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30199</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其他工资福利支出</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45</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30214</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租赁费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对个人和家庭的补助</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86.94</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30215</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会议费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1.92</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离休费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30216</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培训费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2.32</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30302</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退休费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22.39</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30217</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公务接待费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1.31</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30303</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退职（役）费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30218</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专用材料费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30304</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抚恤金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47.05</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30224</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被装购置费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30305</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生活补助</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16.6</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30225</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专用燃料费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30306</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救济费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0.9</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30226</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劳务费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1752.74</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30307</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医疗费补助</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30227</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委托业务费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1459.41</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30308</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助学金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30228</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工会经费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55.98</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30309</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奖励金</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30229</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福利费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36.25</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30310</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个人农业生产补贴</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30231</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公务用车运行维护费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30311</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代缴社会保险费</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30239</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其他交通费用</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23.49</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30399</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其他对个人和家庭的补助</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30240</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税金及附加费用</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0.00</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6"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25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w:t>
            </w:r>
          </w:p>
        </w:tc>
        <w:tc>
          <w:tcPr>
            <w:tcW w:w="30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w:t>
            </w:r>
          </w:p>
        </w:tc>
        <w:tc>
          <w:tcPr>
            <w:tcW w:w="1015"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themeColor="text1"/>
                <w:kern w:val="0"/>
                <w:szCs w:val="20"/>
                <w14:textFill>
                  <w14:solidFill>
                    <w14:schemeClr w14:val="tx1"/>
                  </w14:solidFill>
                </w14:textFill>
              </w:rPr>
            </w:pPr>
          </w:p>
        </w:tc>
        <w:tc>
          <w:tcPr>
            <w:tcW w:w="112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30299</w:t>
            </w:r>
          </w:p>
        </w:tc>
        <w:tc>
          <w:tcPr>
            <w:tcW w:w="212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0"/>
                <w14:textFill>
                  <w14:solidFill>
                    <w14:schemeClr w14:val="tx1"/>
                  </w14:solidFill>
                </w14:textFill>
              </w:rPr>
              <w:t xml:space="preserve">  其他商品和服务支出</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themeColor="text1"/>
                <w:kern w:val="0"/>
                <w:szCs w:val="20"/>
                <w:lang w:val="en-US"/>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91.34</w:t>
            </w:r>
          </w:p>
        </w:tc>
        <w:tc>
          <w:tcPr>
            <w:tcW w:w="113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6"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34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15"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1651.041</w:t>
            </w:r>
          </w:p>
        </w:tc>
        <w:tc>
          <w:tcPr>
            <w:tcW w:w="9238"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01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18"/>
                <w:lang w:val="en-US"/>
              </w:rPr>
            </w:pPr>
            <w:r>
              <w:rPr>
                <w:rFonts w:hint="eastAsia" w:ascii="宋体" w:hAnsi="宋体" w:eastAsia="宋体" w:cs="宋体"/>
                <w:i w:val="0"/>
                <w:iCs w:val="0"/>
                <w:color w:val="000000"/>
                <w:kern w:val="0"/>
                <w:sz w:val="22"/>
                <w:szCs w:val="22"/>
                <w:u w:val="none"/>
                <w:lang w:val="en-US" w:eastAsia="zh-CN" w:bidi="ar"/>
              </w:rPr>
              <w:t>3568.58</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90" w:hRule="atLeast"/>
        </w:trPr>
        <w:tc>
          <w:tcPr>
            <w:tcW w:w="15217" w:type="dxa"/>
            <w:gridSpan w:val="17"/>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345" w:hRule="atLeast"/>
        </w:trPr>
        <w:tc>
          <w:tcPr>
            <w:tcW w:w="929"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38"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292"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333"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14"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296"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43"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91"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90" w:hRule="atLeast"/>
        </w:trPr>
        <w:tc>
          <w:tcPr>
            <w:tcW w:w="929"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38"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292"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333"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14"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296"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43"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91"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45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19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33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5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9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609" w:hRule="atLeast"/>
        </w:trPr>
        <w:tc>
          <w:tcPr>
            <w:tcW w:w="116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2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29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409" w:hRule="atLeast"/>
        </w:trPr>
        <w:tc>
          <w:tcPr>
            <w:tcW w:w="11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24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sz w:val="24"/>
                <w:szCs w:val="24"/>
                <w:u w:val="none"/>
                <w:lang w:val="en-US"/>
              </w:rPr>
            </w:pPr>
            <w:r>
              <w:rPr>
                <w:rFonts w:hint="eastAsia" w:ascii="宋体" w:hAnsi="宋体" w:eastAsia="宋体" w:cs="宋体"/>
                <w:b/>
                <w:bCs/>
                <w:i w:val="0"/>
                <w:iCs w:val="0"/>
                <w:color w:val="000000"/>
                <w:kern w:val="0"/>
                <w:sz w:val="22"/>
                <w:szCs w:val="22"/>
                <w:u w:val="none"/>
                <w:lang w:val="en-US" w:eastAsia="zh-CN" w:bidi="ar"/>
              </w:rPr>
              <w:t>31.36</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sz w:val="24"/>
                <w:szCs w:val="24"/>
                <w:u w:val="none"/>
                <w:lang w:val="en-US"/>
              </w:rPr>
            </w:pPr>
            <w:r>
              <w:rPr>
                <w:rFonts w:hint="eastAsia" w:ascii="宋体" w:hAnsi="宋体" w:eastAsia="宋体" w:cs="宋体"/>
                <w:b/>
                <w:bCs/>
                <w:i w:val="0"/>
                <w:iCs w:val="0"/>
                <w:color w:val="000000"/>
                <w:kern w:val="0"/>
                <w:sz w:val="22"/>
                <w:szCs w:val="22"/>
                <w:u w:val="none"/>
                <w:lang w:val="en-US" w:eastAsia="zh-CN" w:bidi="ar"/>
              </w:rPr>
              <w:t>31.36</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sz w:val="24"/>
                <w:szCs w:val="24"/>
                <w:u w:val="none"/>
                <w:lang w:val="en-US"/>
              </w:rPr>
            </w:pPr>
            <w:r>
              <w:rPr>
                <w:rFonts w:hint="eastAsia" w:ascii="宋体" w:hAnsi="宋体" w:eastAsia="宋体" w:cs="宋体"/>
                <w:b/>
                <w:bCs/>
                <w:i w:val="0"/>
                <w:iCs w:val="0"/>
                <w:color w:val="000000"/>
                <w:kern w:val="0"/>
                <w:sz w:val="22"/>
                <w:szCs w:val="22"/>
                <w:u w:val="none"/>
                <w:lang w:val="en-US" w:eastAsia="zh-CN" w:bidi="ar"/>
              </w:rPr>
              <w:t>31.36</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w:t>
            </w: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其他支出</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31.36</w:t>
            </w: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31.36</w:t>
            </w: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31.36</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509" w:hRule="atLeast"/>
        </w:trPr>
        <w:tc>
          <w:tcPr>
            <w:tcW w:w="1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97" w:type="dxa"/>
          <w:trHeight w:val="725" w:hRule="atLeast"/>
        </w:trPr>
        <w:tc>
          <w:tcPr>
            <w:tcW w:w="15217" w:type="dxa"/>
            <w:gridSpan w:val="1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r>
              <w:rPr>
                <w:rFonts w:hint="eastAsia"/>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r>
              <w:rPr>
                <w:rFonts w:hint="eastAsia"/>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r>
              <w:rPr>
                <w:rFonts w:hint="eastAsia"/>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jc w:val="both"/>
        <w:rPr>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ascii="黑体" w:hAnsi="黑体" w:eastAsia="黑体"/>
          <w:szCs w:val="21"/>
        </w:rPr>
        <w:br w:type="page"/>
      </w:r>
    </w:p>
    <w:p>
      <w:pPr>
        <w:pStyle w:val="13"/>
        <w:rPr>
          <w:sz w:val="72"/>
          <w:szCs w:val="72"/>
        </w:r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3"/>
        <w:jc w:val="center"/>
        <w:rPr>
          <w:rFonts w:hint="eastAsia" w:ascii="方正小标宋_GBK" w:hAnsi="方正小标宋_GBK" w:eastAsia="方正小标宋_GBK" w:cs="方正小标宋_GBK"/>
          <w:sz w:val="70"/>
          <w:szCs w:val="70"/>
        </w:rPr>
      </w:pPr>
    </w:p>
    <w:p>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一、收入支出决算总体情况说明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olor w:val="000000" w:themeColor="text1"/>
          <w:sz w:val="32"/>
          <w:szCs w:val="32"/>
          <w:lang w:eastAsia="zh-CN"/>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202</w:t>
      </w:r>
      <w:r>
        <w:rPr>
          <w:rFonts w:hint="eastAsia" w:ascii="Times New Roman" w:hAnsi="Times New Roman" w:eastAsia="仿宋_GB2312"/>
          <w:color w:val="000000" w:themeColor="text1"/>
          <w:sz w:val="32"/>
          <w:szCs w:val="32"/>
          <w:lang w:val="en-US" w:eastAsia="zh-CN"/>
          <w14:textFill>
            <w14:solidFill>
              <w14:schemeClr w14:val="tx1"/>
            </w14:solidFill>
          </w14:textFill>
        </w:rPr>
        <w:t>3</w:t>
      </w:r>
      <w:r>
        <w:rPr>
          <w:rFonts w:hint="eastAsia" w:ascii="Times New Roman" w:hAnsi="Times New Roman" w:eastAsia="仿宋_GB2312"/>
          <w:color w:val="000000" w:themeColor="text1"/>
          <w:sz w:val="32"/>
          <w:szCs w:val="32"/>
          <w14:textFill>
            <w14:solidFill>
              <w14:schemeClr w14:val="tx1"/>
            </w14:solidFill>
          </w14:textFill>
        </w:rPr>
        <w:t>年度收、支总计</w:t>
      </w:r>
      <w:r>
        <w:rPr>
          <w:rFonts w:hint="eastAsia" w:ascii="Times New Roman" w:hAnsi="Times New Roman" w:eastAsia="仿宋_GB2312"/>
          <w:color w:val="000000" w:themeColor="text1"/>
          <w:sz w:val="32"/>
          <w:szCs w:val="32"/>
          <w:lang w:val="en-US" w:eastAsia="zh-CN"/>
          <w14:textFill>
            <w14:solidFill>
              <w14:schemeClr w14:val="tx1"/>
            </w14:solidFill>
          </w14:textFill>
        </w:rPr>
        <w:t>59067.43</w:t>
      </w:r>
      <w:r>
        <w:rPr>
          <w:rFonts w:hint="eastAsia" w:ascii="Times New Roman" w:hAnsi="Times New Roman" w:eastAsia="仿宋_GB2312"/>
          <w:color w:val="000000" w:themeColor="text1"/>
          <w:sz w:val="32"/>
          <w:szCs w:val="32"/>
          <w14:textFill>
            <w14:solidFill>
              <w14:schemeClr w14:val="tx1"/>
            </w14:solidFill>
          </w14:textFill>
        </w:rPr>
        <w:t>万元。与上年相比，</w:t>
      </w:r>
      <w:r>
        <w:rPr>
          <w:rFonts w:hint="eastAsia" w:ascii="Times New Roman" w:hAnsi="Times New Roman" w:eastAsia="仿宋_GB2312"/>
          <w:color w:val="000000" w:themeColor="text1"/>
          <w:sz w:val="32"/>
          <w:szCs w:val="32"/>
          <w:lang w:val="en-US" w:eastAsia="zh-CN"/>
          <w14:textFill>
            <w14:solidFill>
              <w14:schemeClr w14:val="tx1"/>
            </w14:solidFill>
          </w14:textFill>
        </w:rPr>
        <w:t>增加6527.98</w:t>
      </w:r>
      <w:r>
        <w:rPr>
          <w:rFonts w:hint="eastAsia" w:ascii="Times New Roman" w:hAnsi="Times New Roman" w:eastAsia="仿宋_GB2312"/>
          <w:color w:val="000000" w:themeColor="text1"/>
          <w:sz w:val="32"/>
          <w:szCs w:val="32"/>
          <w14:textFill>
            <w14:solidFill>
              <w14:schemeClr w14:val="tx1"/>
            </w14:solidFill>
          </w14:textFill>
        </w:rPr>
        <w:t>万元，</w:t>
      </w:r>
      <w:r>
        <w:rPr>
          <w:rFonts w:hint="eastAsia" w:ascii="Times New Roman" w:hAnsi="Times New Roman" w:eastAsia="仿宋_GB2312"/>
          <w:color w:val="000000" w:themeColor="text1"/>
          <w:sz w:val="32"/>
          <w:szCs w:val="32"/>
          <w:lang w:val="en-US" w:eastAsia="zh-CN"/>
          <w14:textFill>
            <w14:solidFill>
              <w14:schemeClr w14:val="tx1"/>
            </w14:solidFill>
          </w14:textFill>
        </w:rPr>
        <w:t>增加12.42</w:t>
      </w:r>
      <w:r>
        <w:rPr>
          <w:rFonts w:hint="eastAsia" w:ascii="Times New Roman" w:hAnsi="Times New Roman" w:eastAsia="仿宋_GB2312"/>
          <w:color w:val="000000" w:themeColor="text1"/>
          <w:sz w:val="32"/>
          <w:szCs w:val="32"/>
          <w14:textFill>
            <w14:solidFill>
              <w14:schemeClr w14:val="tx1"/>
            </w14:solidFill>
          </w14:textFill>
        </w:rPr>
        <w:t>%，主要是因为</w:t>
      </w:r>
      <w:r>
        <w:rPr>
          <w:rFonts w:hint="eastAsia" w:ascii="Times New Roman" w:hAnsi="Times New Roman" w:eastAsia="仿宋_GB2312"/>
          <w:color w:val="000000" w:themeColor="text1"/>
          <w:sz w:val="32"/>
          <w:szCs w:val="32"/>
          <w:lang w:val="en-US" w:eastAsia="zh-CN"/>
          <w14:textFill>
            <w14:solidFill>
              <w14:schemeClr w14:val="tx1"/>
            </w14:solidFill>
          </w14:textFill>
        </w:rPr>
        <w:t>项目投入增加。</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29556.94</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21823.86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73.84</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7733.08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26.16</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29510.49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2089.13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7.08</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27421.36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92.92</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3"/>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43647.73</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1016.74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2.38</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项目投入加大</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（一）财政拨款支出决算总体情况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21823.86</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73.95</w:t>
      </w:r>
      <w:r>
        <w:rPr>
          <w:rFonts w:hint="eastAsia" w:ascii="Times New Roman" w:hAnsi="Times New Roman" w:eastAsia="仿宋_GB2312"/>
          <w:sz w:val="32"/>
          <w:szCs w:val="32"/>
        </w:rPr>
        <w:t>%，与上年相比，财政拨款支出</w:t>
      </w:r>
      <w:r>
        <w:rPr>
          <w:rFonts w:hint="eastAsia" w:ascii="Times New Roman" w:hAnsi="Times New Roman" w:eastAsia="仿宋_GB2312"/>
          <w:sz w:val="32"/>
          <w:szCs w:val="32"/>
          <w:lang w:val="en-US" w:eastAsia="zh-CN"/>
        </w:rPr>
        <w:t>增加578.84</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增加2.72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项目投入增加。</w:t>
      </w:r>
    </w:p>
    <w:p>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（二）财政拨款支出决算结构情况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21823.86</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158.87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0.73</w:t>
      </w:r>
      <w:r>
        <w:rPr>
          <w:rFonts w:hint="eastAsia" w:ascii="Times New Roman" w:hAnsi="Times New Roman" w:eastAsia="仿宋_GB2312"/>
          <w:sz w:val="32"/>
          <w:szCs w:val="32"/>
        </w:rPr>
        <w:t>%；社会保障和就业支出</w:t>
      </w:r>
      <w:r>
        <w:rPr>
          <w:rFonts w:hint="eastAsia" w:ascii="Times New Roman" w:hAnsi="Times New Roman" w:eastAsia="仿宋_GB2312"/>
          <w:sz w:val="32"/>
          <w:szCs w:val="32"/>
          <w:lang w:val="en-US" w:eastAsia="zh-CN"/>
        </w:rPr>
        <w:t>121.95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0.56</w:t>
      </w:r>
      <w:r>
        <w:rPr>
          <w:rFonts w:hint="eastAsia" w:ascii="Times New Roman" w:hAnsi="Times New Roman" w:eastAsia="仿宋_GB2312"/>
          <w:sz w:val="32"/>
          <w:szCs w:val="32"/>
        </w:rPr>
        <w:t>%；科学技术支出</w:t>
      </w:r>
      <w:r>
        <w:rPr>
          <w:rFonts w:hint="eastAsia" w:ascii="Times New Roman" w:hAnsi="Times New Roman" w:eastAsia="仿宋_GB2312"/>
          <w:sz w:val="32"/>
          <w:szCs w:val="32"/>
          <w:lang w:val="en-US" w:eastAsia="zh-CN"/>
        </w:rPr>
        <w:t>5.3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0.024</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农林水支出</w:t>
      </w:r>
      <w:r>
        <w:rPr>
          <w:rFonts w:hint="eastAsia" w:ascii="Times New Roman" w:hAnsi="Times New Roman" w:eastAsia="仿宋_GB2312"/>
          <w:sz w:val="32"/>
          <w:szCs w:val="32"/>
          <w:lang w:val="en-US" w:eastAsia="zh-CN"/>
        </w:rPr>
        <w:t>19741.6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90.46</w:t>
      </w:r>
      <w:r>
        <w:rPr>
          <w:rFonts w:hint="eastAsia" w:ascii="Times New Roman" w:hAnsi="Times New Roman" w:eastAsia="仿宋_GB2312"/>
          <w:sz w:val="32"/>
          <w:szCs w:val="32"/>
        </w:rPr>
        <w:t>%；自然资源海洋气象等支出</w:t>
      </w:r>
      <w:r>
        <w:rPr>
          <w:rFonts w:hint="eastAsia" w:ascii="Times New Roman" w:hAnsi="Times New Roman" w:eastAsia="仿宋_GB2312"/>
          <w:sz w:val="32"/>
          <w:szCs w:val="32"/>
          <w:lang w:val="en-US" w:eastAsia="zh-CN"/>
        </w:rPr>
        <w:t>1189万元，占5.45%；</w:t>
      </w:r>
      <w:r>
        <w:rPr>
          <w:rFonts w:hint="eastAsia" w:ascii="Times New Roman" w:hAnsi="Times New Roman" w:eastAsia="仿宋_GB2312"/>
          <w:sz w:val="32"/>
          <w:szCs w:val="32"/>
        </w:rPr>
        <w:t>住房保障支出</w:t>
      </w:r>
      <w:r>
        <w:rPr>
          <w:rFonts w:hint="eastAsia" w:ascii="Times New Roman" w:hAnsi="Times New Roman" w:eastAsia="仿宋_GB2312"/>
          <w:sz w:val="32"/>
          <w:szCs w:val="32"/>
          <w:lang w:val="en-US" w:eastAsia="zh-CN"/>
        </w:rPr>
        <w:t>408.55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1.87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其他支出</w:t>
      </w:r>
      <w:r>
        <w:rPr>
          <w:rFonts w:hint="eastAsia" w:ascii="Times New Roman" w:hAnsi="Times New Roman" w:eastAsia="仿宋_GB2312"/>
          <w:sz w:val="32"/>
          <w:szCs w:val="32"/>
          <w:lang w:val="en-US" w:eastAsia="zh-CN"/>
        </w:rPr>
        <w:t>198.59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0.91</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（三）财政拨款支出决算具体情况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7966.91</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21823.86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273.93</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1、住房保障支出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类</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408.55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408.55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2、农林水支出（类）。</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7558.36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19741.6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261.19</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项目支出加大。</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2030.22</w:t>
      </w:r>
      <w:r>
        <w:rPr>
          <w:rFonts w:hint="eastAsia" w:ascii="Times New Roman" w:hAnsi="Times New Roman" w:eastAsia="仿宋_GB2312"/>
          <w:sz w:val="32"/>
          <w:szCs w:val="32"/>
        </w:rPr>
        <w:t>万元，其中：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1651.04</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81.32</w:t>
      </w:r>
      <w:r>
        <w:rPr>
          <w:rFonts w:hint="eastAsia" w:ascii="Times New Roman" w:hAnsi="Times New Roman" w:eastAsia="仿宋_GB2312"/>
          <w:sz w:val="32"/>
          <w:szCs w:val="32"/>
        </w:rPr>
        <w:t>%,主要包括基本工资、津贴补贴、奖金、伙食补助费</w:t>
      </w:r>
      <w:r>
        <w:rPr>
          <w:rFonts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379.18</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18.68</w:t>
      </w:r>
      <w:r>
        <w:rPr>
          <w:rFonts w:hint="eastAsia" w:ascii="Times New Roman" w:hAnsi="Times New Roman" w:eastAsia="仿宋_GB2312"/>
          <w:sz w:val="32"/>
          <w:szCs w:val="32"/>
        </w:rPr>
        <w:t>%，主要包括办公费、印刷费、咨询费、手续费</w:t>
      </w:r>
      <w:r>
        <w:rPr>
          <w:rFonts w:ascii="Times New Roman" w:hAnsi="Times New Roman" w:eastAsia="仿宋_GB2312"/>
          <w:sz w:val="32"/>
          <w:szCs w:val="32"/>
        </w:rPr>
        <w:t>……</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r>
        <w:rPr>
          <w:rFonts w:hint="eastAsia" w:ascii="楷体" w:hAnsi="楷体" w:eastAsia="楷体" w:cs="楷体"/>
          <w:b/>
          <w:bCs/>
          <w:i/>
          <w:color w:val="auto"/>
          <w:sz w:val="32"/>
          <w:szCs w:val="32"/>
          <w:lang w:eastAsia="zh-CN"/>
        </w:rPr>
        <w:t>（注意：三公经费情况说明，往年为一般公共预算财政拨款口径，今年为财政拨款口径）</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仿宋_GB2312" w:hAnsi="仿宋" w:eastAsia="仿宋_GB2312"/>
          <w:sz w:val="32"/>
          <w:szCs w:val="32"/>
        </w:rPr>
        <w:t>1.31</w:t>
      </w:r>
      <w:r>
        <w:rPr>
          <w:rFonts w:hint="eastAsia" w:ascii="Times New Roman" w:hAnsi="Times New Roman" w:eastAsia="仿宋_GB2312"/>
          <w:sz w:val="32"/>
          <w:szCs w:val="32"/>
        </w:rPr>
        <w:t>万元，支出决算为</w:t>
      </w:r>
      <w:r>
        <w:rPr>
          <w:rFonts w:hint="eastAsia" w:ascii="仿宋_GB2312" w:hAnsi="仿宋" w:eastAsia="仿宋_GB2312"/>
          <w:sz w:val="32"/>
          <w:szCs w:val="32"/>
        </w:rPr>
        <w:t>1.31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仿宋_GB2312" w:hAnsi="仿宋" w:eastAsia="仿宋_GB2312"/>
          <w:sz w:val="32"/>
          <w:szCs w:val="32"/>
        </w:rPr>
        <w:t>1.31</w:t>
      </w:r>
      <w:r>
        <w:rPr>
          <w:rFonts w:hint="eastAsia" w:ascii="Times New Roman" w:hAnsi="Times New Roman" w:eastAsia="仿宋_GB2312"/>
          <w:sz w:val="32"/>
          <w:szCs w:val="32"/>
        </w:rPr>
        <w:t>万元，支出决算为</w:t>
      </w:r>
      <w:r>
        <w:rPr>
          <w:rFonts w:hint="eastAsia" w:ascii="仿宋_GB2312" w:hAnsi="仿宋" w:eastAsia="仿宋_GB2312"/>
          <w:sz w:val="32"/>
          <w:szCs w:val="32"/>
        </w:rPr>
        <w:t>1.31</w:t>
      </w:r>
      <w:r>
        <w:rPr>
          <w:rFonts w:hint="eastAsia" w:ascii="Times New Roman" w:hAnsi="Times New Roman" w:eastAsia="仿宋_GB2312"/>
          <w:sz w:val="32"/>
          <w:szCs w:val="32"/>
        </w:rPr>
        <w:t>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val="en-US" w:eastAsia="zh-CN"/>
        </w:rPr>
        <w:t>节约开支</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减少15.83</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92.36</w:t>
      </w:r>
      <w:r>
        <w:rPr>
          <w:rFonts w:hint="eastAsia" w:ascii="Times New Roman" w:hAnsi="Times New Roman" w:eastAsia="仿宋_GB2312"/>
          <w:sz w:val="32"/>
          <w:szCs w:val="32"/>
        </w:rPr>
        <w:t>%,减少（增长）的主要原因是</w:t>
      </w:r>
      <w:r>
        <w:rPr>
          <w:rFonts w:hint="eastAsia" w:ascii="Times New Roman" w:hAnsi="Times New Roman" w:eastAsia="仿宋_GB2312"/>
          <w:sz w:val="32"/>
          <w:szCs w:val="32"/>
          <w:lang w:val="en-US" w:eastAsia="zh-CN"/>
        </w:rPr>
        <w:t>节约开支</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1.31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1.31</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75</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300</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val="en-US" w:eastAsia="zh-CN"/>
        </w:rPr>
        <w:t>检查接待</w:t>
      </w:r>
      <w:r>
        <w:rPr>
          <w:rFonts w:hint="eastAsia" w:ascii="Times New Roman" w:hAnsi="Times New Roman" w:eastAsia="仿宋_GB2312"/>
          <w:sz w:val="32"/>
          <w:szCs w:val="32"/>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（单位本级或某二级机构）更新公务用车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万元，主要是</w:t>
      </w:r>
      <w:r>
        <w:rPr>
          <w:rFonts w:ascii="Times New Roman" w:hAnsi="Times New Roman" w:eastAsia="仿宋_GB2312"/>
          <w:sz w:val="32"/>
          <w:szCs w:val="32"/>
        </w:rPr>
        <w:t>……</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3"/>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31.36</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131.36</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31.36</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r>
        <w:rPr>
          <w:rFonts w:hint="eastAsia" w:ascii="Times New Roman" w:hAnsi="Times New Roman" w:eastAsia="仿宋_GB2312"/>
          <w:sz w:val="32"/>
          <w:szCs w:val="32"/>
          <w:lang w:val="en-US" w:eastAsia="zh-CN"/>
        </w:rPr>
        <w:t>涉砂成员监管工作经费5万元，长春垸西线堤顶道路硬化工程26.36万元。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379.18</w:t>
      </w:r>
      <w:r>
        <w:rPr>
          <w:rFonts w:hint="eastAsia" w:ascii="Times New Roman" w:hAnsi="Times New Roman" w:eastAsia="仿宋_GB2312"/>
          <w:sz w:val="32"/>
          <w:szCs w:val="32"/>
        </w:rPr>
        <w:t>万元</w:t>
      </w:r>
      <w:r>
        <w:rPr>
          <w:rFonts w:hint="eastAsia" w:ascii="楷体" w:hAnsi="楷体" w:eastAsia="楷体" w:cs="楷体"/>
          <w:b/>
          <w:bCs/>
          <w:i/>
          <w:color w:val="auto"/>
          <w:kern w:val="0"/>
          <w:sz w:val="32"/>
          <w:szCs w:val="32"/>
          <w:lang w:val="en-US" w:eastAsia="zh-CN" w:bidi="ar-SA"/>
        </w:rPr>
        <w:t>（与部门决算中行政单位和参照公务员法管理事业单位一般公共预算财政拨款基本支出中公用经费之和一致）</w:t>
      </w:r>
      <w:r>
        <w:rPr>
          <w:rFonts w:hint="eastAsia" w:ascii="Times New Roman" w:hAnsi="Times New Roman" w:eastAsia="仿宋_GB2312"/>
          <w:sz w:val="32"/>
          <w:szCs w:val="32"/>
        </w:rPr>
        <w:t>，比年初预算数（或者上年决算数）增加（减少）</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 xml:space="preserve"> 万元，增长（降低）</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与预算保持一致</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1.92</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val="en-US" w:eastAsia="zh-CN"/>
        </w:rPr>
        <w:t>机关及各二级单位</w:t>
      </w:r>
      <w:r>
        <w:rPr>
          <w:rFonts w:hint="eastAsia" w:ascii="Times New Roman" w:hAnsi="Times New Roman" w:eastAsia="仿宋_GB2312"/>
          <w:sz w:val="32"/>
          <w:szCs w:val="32"/>
        </w:rPr>
        <w:t>会议，人数</w:t>
      </w:r>
      <w:r>
        <w:rPr>
          <w:rFonts w:hint="eastAsia" w:ascii="Times New Roman" w:hAnsi="Times New Roman" w:eastAsia="仿宋_GB2312"/>
          <w:sz w:val="32"/>
          <w:szCs w:val="32"/>
          <w:lang w:val="en-US" w:eastAsia="zh-CN"/>
        </w:rPr>
        <w:t>1000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各单位自主召开会议及机关组织会议</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2.87</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事业人员继续教育</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350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继续教育</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没有</w:t>
      </w:r>
      <w:r>
        <w:rPr>
          <w:rFonts w:hint="eastAsia" w:ascii="Times New Roman" w:hAnsi="Times New Roman" w:eastAsia="仿宋_GB2312"/>
          <w:sz w:val="32"/>
          <w:szCs w:val="32"/>
        </w:rPr>
        <w:t>举办节庆、晚会、论坛、赛事活动。</w:t>
      </w:r>
      <w:r>
        <w:rPr>
          <w:rFonts w:hint="eastAsia" w:ascii="楷体" w:hAnsi="楷体" w:eastAsia="楷体" w:cs="楷体"/>
          <w:b/>
          <w:bCs/>
          <w:i/>
          <w:color w:val="auto"/>
          <w:kern w:val="0"/>
          <w:sz w:val="32"/>
          <w:szCs w:val="32"/>
          <w:lang w:val="en-US" w:eastAsia="zh-CN" w:bidi="ar-SA"/>
        </w:rPr>
        <w:t>（注：三类会议、培训活动，节庆、晚会、论坛、赛事等活动，请分项列明活动计划及经费预算情况）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76.65</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22.58</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54.07</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3.91</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2.61</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楷体" w:hAnsi="楷体" w:eastAsia="楷体" w:cs="楷体"/>
          <w:b/>
          <w:bCs/>
          <w:i/>
          <w:color w:val="auto"/>
          <w:kern w:val="0"/>
          <w:sz w:val="32"/>
          <w:szCs w:val="32"/>
          <w:lang w:val="en-US" w:eastAsia="zh-CN" w:bidi="ar-SA"/>
        </w:rPr>
        <w:t>（政府采购金额的计算口径为：本部门纳入2023年度部门预算范围的各项政府采购支出金额之和，不包括涉密采购项目的支出金额）</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黑体" w:hAnsi="黑体" w:eastAsia="黑体" w:cs="黑体"/>
          <w:b w:val="0"/>
          <w:bCs/>
          <w:sz w:val="32"/>
          <w:szCs w:val="32"/>
        </w:rPr>
        <w:t>年度预算绩效情况的说明</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年度，本部门整体支出和项目支出实行绩效目标管理，纳入202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年部门整体支出绩效目标的金额</w:t>
      </w:r>
      <w:r>
        <w:rPr>
          <w:rFonts w:hint="eastAsia" w:ascii="Times New Roman" w:hAnsi="Times New Roman" w:eastAsia="仿宋_GB2312"/>
          <w:sz w:val="32"/>
          <w:szCs w:val="32"/>
          <w:lang w:val="en-US" w:eastAsia="zh-CN"/>
        </w:rPr>
        <w:t>29510.49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2089.13</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27421.36</w:t>
      </w:r>
      <w:r>
        <w:rPr>
          <w:rFonts w:hint="eastAsia" w:ascii="Times New Roman" w:hAnsi="Times New Roman" w:eastAsia="仿宋_GB2312"/>
          <w:sz w:val="32"/>
          <w:szCs w:val="32"/>
        </w:rPr>
        <w:t>万元。</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pStyle w:val="6"/>
        <w:shd w:val="clear" w:color="auto" w:fill="FFFFFF"/>
        <w:spacing w:before="0" w:beforeAutospacing="0" w:after="0" w:afterAutospacing="0" w:line="420" w:lineRule="atLeast"/>
        <w:ind w:firstLine="645"/>
        <w:rPr>
          <w:rFonts w:ascii="Helvetica" w:hAnsi="Helvetica" w:cs="Helvetica"/>
          <w:color w:val="000000" w:themeColor="text1"/>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14:textFill>
            <w14:solidFill>
              <w14:schemeClr w14:val="tx1"/>
            </w14:solidFill>
          </w14:textFill>
        </w:rPr>
        <w:t>1、从</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202</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年账务支出结构分析，由于财政下拨的年初预算只按平均每人</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万元的标准安排单位人头经费，远远小于人员支出以及公用支出的刚性需求，必须使用财政的其他拨款弥补人员支出。</w:t>
      </w:r>
      <w:r>
        <w:rPr>
          <w:rStyle w:val="10"/>
          <w:rFonts w:hint="eastAsia" w:cs="Helvetica"/>
          <w:b w:val="0"/>
          <w:bCs w:val="0"/>
          <w:color w:val="000000" w:themeColor="text1"/>
          <w14:textFill>
            <w14:solidFill>
              <w14:schemeClr w14:val="tx1"/>
            </w14:solidFill>
          </w14:textFill>
        </w:rPr>
        <w:t> </w:t>
      </w:r>
    </w:p>
    <w:p>
      <w:pPr>
        <w:pStyle w:val="6"/>
        <w:shd w:val="clear" w:color="auto" w:fill="FFFFFF"/>
        <w:spacing w:before="0" w:beforeAutospacing="0" w:after="0" w:afterAutospacing="0" w:line="420" w:lineRule="atLeast"/>
        <w:ind w:firstLine="645"/>
        <w:rPr>
          <w:rStyle w:val="10"/>
          <w:rFonts w:hint="eastAsia" w:cs="Helvetica"/>
          <w:b w:val="0"/>
          <w:bCs w:val="0"/>
          <w:color w:val="000000" w:themeColor="text1"/>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14:textFill>
            <w14:solidFill>
              <w14:schemeClr w14:val="tx1"/>
            </w14:solidFill>
          </w14:textFill>
        </w:rPr>
        <w:t>2、由于</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各股</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室人员</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年龄老化</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加上业务知识日新月异，如不通过系统的学习，工作效率难以与时俱进。</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固定资产使用人交接程序存在不规范的情况，造成固定资产的登记、管理不便，资产管理需要加强。</w:t>
      </w:r>
      <w:r>
        <w:rPr>
          <w:rStyle w:val="10"/>
          <w:rFonts w:hint="eastAsia" w:cs="Helvetica"/>
          <w:b w:val="0"/>
          <w:bCs w:val="0"/>
          <w:color w:val="000000" w:themeColor="text1"/>
          <w14:textFill>
            <w14:solidFill>
              <w14:schemeClr w14:val="tx1"/>
            </w14:solidFill>
          </w14:textFill>
        </w:rPr>
        <w:t> </w:t>
      </w:r>
    </w:p>
    <w:p>
      <w:pPr>
        <w:pStyle w:val="6"/>
        <w:shd w:val="clear" w:color="auto" w:fill="FFFFFF"/>
        <w:spacing w:before="0" w:beforeAutospacing="0" w:after="0" w:afterAutospacing="0" w:line="420" w:lineRule="atLeast"/>
        <w:ind w:firstLine="645"/>
        <w:rPr>
          <w:rStyle w:val="10"/>
          <w:rFonts w:hint="default"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基层项目管理停留在传统阶段，程序不够规范，项目管理人员素质有待加强。</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一</w:t>
      </w:r>
      <w:r>
        <w:rPr>
          <w:rFonts w:hint="eastAsia" w:ascii="仿宋" w:hAnsi="仿宋" w:eastAsia="仿宋" w:cs="宋体"/>
          <w:color w:val="000000"/>
          <w:kern w:val="0"/>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pPr>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　　</w:t>
      </w:r>
      <w:r>
        <w:rPr>
          <w:rFonts w:hint="eastAsia" w:ascii="仿宋" w:hAnsi="仿宋" w:eastAsia="仿宋" w:cs="宋体"/>
          <w:color w:val="000000"/>
          <w:kern w:val="0"/>
          <w:sz w:val="32"/>
          <w:szCs w:val="32"/>
          <w:lang w:val="en-US" w:eastAsia="zh-CN"/>
        </w:rPr>
        <w:t>二</w:t>
      </w:r>
      <w:r>
        <w:rPr>
          <w:rFonts w:hint="eastAsia" w:ascii="仿宋" w:hAnsi="仿宋" w:eastAsia="仿宋" w:cs="宋体"/>
          <w:color w:val="000000"/>
          <w:kern w:val="0"/>
          <w:sz w:val="32"/>
          <w:szCs w:val="32"/>
        </w:rPr>
        <w:t>、“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楷体" w:hAnsi="楷体" w:eastAsia="楷体" w:cs="楷体"/>
          <w:b/>
          <w:bCs/>
          <w:i/>
          <w:color w:val="auto"/>
          <w:kern w:val="0"/>
          <w:sz w:val="32"/>
          <w:szCs w:val="32"/>
          <w:lang w:val="en-US" w:eastAsia="zh-CN" w:bidi="ar-SA"/>
        </w:rPr>
        <w:t>（名词解释应包含本部门专有名词，如省财政厅应有对“财政事务”科目的解释，可参考中央相关部门的名词解释）</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Helvetica">
    <w:panose1 w:val="020B0504020202030204"/>
    <w:charset w:val="00"/>
    <w:family w:val="swiss"/>
    <w:pitch w:val="default"/>
    <w:sig w:usb0="00000007" w:usb1="00000000" w:usb2="00000000" w:usb3="00000000" w:csb0="00000093"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3YmNkOWJiMDIzZTAyZTJkOTkyMmMxZDFkZTg2NTk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EB25B9"/>
    <w:rsid w:val="19DA4C79"/>
    <w:rsid w:val="1F017A2F"/>
    <w:rsid w:val="23B06662"/>
    <w:rsid w:val="27714521"/>
    <w:rsid w:val="2B15277F"/>
    <w:rsid w:val="34DA73C9"/>
    <w:rsid w:val="3E1268B1"/>
    <w:rsid w:val="48644726"/>
    <w:rsid w:val="4AD94843"/>
    <w:rsid w:val="5777D4F5"/>
    <w:rsid w:val="5A5A0E47"/>
    <w:rsid w:val="5B705652"/>
    <w:rsid w:val="5E736A75"/>
    <w:rsid w:val="5FC6BB1E"/>
    <w:rsid w:val="5FF720F1"/>
    <w:rsid w:val="60294FAA"/>
    <w:rsid w:val="626E254E"/>
    <w:rsid w:val="68BA7628"/>
    <w:rsid w:val="72C31D1D"/>
    <w:rsid w:val="737D59BA"/>
    <w:rsid w:val="77C37683"/>
    <w:rsid w:val="79FF515B"/>
    <w:rsid w:val="7E9F11B4"/>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autoRedefine/>
    <w:qFormat/>
    <w:uiPriority w:val="0"/>
    <w:pPr>
      <w:spacing w:after="120"/>
      <w:ind w:left="420" w:leftChars="200"/>
    </w:pPr>
    <w:rPr>
      <w:rFonts w:ascii="Calibri" w:hAnsi="Calibri" w:eastAsia="宋体"/>
      <w:szCs w:val="24"/>
      <w:u w:val="none"/>
    </w:rPr>
  </w:style>
  <w:style w:type="paragraph" w:styleId="3">
    <w:name w:val="Balloon Text"/>
    <w:basedOn w:val="1"/>
    <w:link w:val="15"/>
    <w:autoRedefine/>
    <w:semiHidden/>
    <w:unhideWhenUsed/>
    <w:qFormat/>
    <w:uiPriority w:val="99"/>
    <w:rPr>
      <w:sz w:val="18"/>
      <w:szCs w:val="18"/>
    </w:rPr>
  </w:style>
  <w:style w:type="paragraph" w:styleId="4">
    <w:name w:val="footer"/>
    <w:basedOn w:val="1"/>
    <w:link w:val="12"/>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2"/>
    <w:basedOn w:val="2"/>
    <w:next w:val="1"/>
    <w:unhideWhenUsed/>
    <w:qFormat/>
    <w:uiPriority w:val="99"/>
    <w:pPr>
      <w:ind w:firstLine="420" w:firstLineChars="200"/>
    </w:pPr>
  </w:style>
  <w:style w:type="character" w:styleId="10">
    <w:name w:val="Strong"/>
    <w:basedOn w:val="9"/>
    <w:qFormat/>
    <w:uiPriority w:val="22"/>
    <w:rPr>
      <w:b/>
      <w:bCs/>
    </w:rPr>
  </w:style>
  <w:style w:type="character" w:customStyle="1" w:styleId="11">
    <w:name w:val="页眉 Char"/>
    <w:basedOn w:val="9"/>
    <w:link w:val="5"/>
    <w:autoRedefine/>
    <w:qFormat/>
    <w:uiPriority w:val="99"/>
    <w:rPr>
      <w:sz w:val="18"/>
      <w:szCs w:val="18"/>
    </w:rPr>
  </w:style>
  <w:style w:type="character" w:customStyle="1" w:styleId="12">
    <w:name w:val="页脚 Char"/>
    <w:basedOn w:val="9"/>
    <w:link w:val="4"/>
    <w:autoRedefine/>
    <w:qFormat/>
    <w:uiPriority w:val="99"/>
    <w:rPr>
      <w:sz w:val="18"/>
      <w:szCs w:val="18"/>
    </w:rPr>
  </w:style>
  <w:style w:type="paragraph" w:customStyle="1" w:styleId="13">
    <w:name w:val="Default"/>
    <w:autoRedefine/>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autoRedefine/>
    <w:qFormat/>
    <w:uiPriority w:val="34"/>
    <w:pPr>
      <w:ind w:firstLine="420" w:firstLineChars="200"/>
    </w:pPr>
  </w:style>
  <w:style w:type="character" w:customStyle="1" w:styleId="15">
    <w:name w:val="批注框文本 Char"/>
    <w:basedOn w:val="9"/>
    <w:link w:val="3"/>
    <w:autoRedefine/>
    <w:semiHidden/>
    <w:qFormat/>
    <w:uiPriority w:val="99"/>
    <w:rPr>
      <w:sz w:val="18"/>
      <w:szCs w:val="18"/>
    </w:rPr>
  </w:style>
  <w:style w:type="character" w:customStyle="1" w:styleId="16">
    <w:name w:val="font01"/>
    <w:basedOn w:val="9"/>
    <w:autoRedefine/>
    <w:qFormat/>
    <w:uiPriority w:val="0"/>
    <w:rPr>
      <w:rFonts w:hint="eastAsia" w:ascii="宋体" w:hAnsi="宋体" w:eastAsia="宋体" w:cs="宋体"/>
      <w:color w:val="000000"/>
      <w:sz w:val="22"/>
      <w:szCs w:val="22"/>
      <w:u w:val="none"/>
    </w:rPr>
  </w:style>
  <w:style w:type="character" w:customStyle="1" w:styleId="17">
    <w:name w:val="font21"/>
    <w:basedOn w:val="9"/>
    <w:autoRedefine/>
    <w:qFormat/>
    <w:uiPriority w:val="0"/>
    <w:rPr>
      <w:rFonts w:hint="eastAsia" w:ascii="宋体" w:hAnsi="宋体" w:eastAsia="宋体" w:cs="宋体"/>
      <w:color w:val="000000"/>
      <w:sz w:val="24"/>
      <w:szCs w:val="24"/>
      <w:u w:val="none"/>
    </w:rPr>
  </w:style>
  <w:style w:type="character" w:customStyle="1" w:styleId="18">
    <w:name w:val="font11"/>
    <w:basedOn w:val="9"/>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6</TotalTime>
  <ScaleCrop>false</ScaleCrop>
  <LinksUpToDate>false</LinksUpToDate>
  <CharactersWithSpaces>9008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毛里斯的姐姐</cp:lastModifiedBy>
  <cp:lastPrinted>2023-08-15T09:28:00Z</cp:lastPrinted>
  <dcterms:modified xsi:type="dcterms:W3CDTF">2024-04-29T08:32:11Z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712B176F203C41D4ABA0680C911CA836_12</vt:lpwstr>
  </property>
</Properties>
</file>